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AC51EA">
        <w:rPr>
          <w:color w:val="000000"/>
          <w:spacing w:val="-2"/>
          <w:sz w:val="22"/>
          <w:szCs w:val="22"/>
        </w:rPr>
        <w:t>од с 1 января по 31 декабря 2020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C51EA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280810,12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AC51EA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251464,95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04B2D"/>
    <w:rsid w:val="00220FBD"/>
    <w:rsid w:val="00337CCC"/>
    <w:rsid w:val="00352112"/>
    <w:rsid w:val="0035293F"/>
    <w:rsid w:val="003B1A13"/>
    <w:rsid w:val="003D18E4"/>
    <w:rsid w:val="00412C90"/>
    <w:rsid w:val="00457999"/>
    <w:rsid w:val="004B1BAB"/>
    <w:rsid w:val="004D648E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51EA"/>
    <w:rsid w:val="00B20868"/>
    <w:rsid w:val="00B630A9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2019-04-29T03:22:00Z</dcterms:created>
  <dcterms:modified xsi:type="dcterms:W3CDTF">2021-04-28T08:57:00Z</dcterms:modified>
</cp:coreProperties>
</file>