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 w:val="0"/>
        <w:jc w:val="both"/>
        <w:spacing w:after="0" w:line="283" w:lineRule="atLeast"/>
        <w:rPr>
          <w:rFonts w:ascii="Tinos" w:hAnsi="Tinos" w:cs="Tinos"/>
          <w:color w:val="000000" w:themeColor="text1"/>
          <w:sz w:val="24"/>
          <w:szCs w:val="24"/>
        </w:rPr>
        <w:suppressLineNumbers w:val="0"/>
      </w:pPr>
      <w:r>
        <w:rPr>
          <w:rFonts w:ascii="Tinos" w:hAnsi="Tinos" w:eastAsia="Tinos" w:cs="Tinos"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95525" cy="838200"/>
                <wp:effectExtent l="0" t="0" r="9525" b="0"/>
                <wp:docPr id="1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6275948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295524" cy="8381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80.75pt;height:66.00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cs="Tinos"/>
          <w:color w:val="000000" w:themeColor="text1"/>
          <w:sz w:val="24"/>
          <w:szCs w:val="24"/>
        </w:rPr>
      </w:r>
      <w:r>
        <w:rPr>
          <w:rFonts w:ascii="Tinos" w:hAnsi="Tinos" w:cs="Tinos"/>
          <w:color w:val="000000" w:themeColor="text1"/>
          <w:sz w:val="24"/>
          <w:szCs w:val="24"/>
        </w:rPr>
      </w:r>
    </w:p>
    <w:p>
      <w:pPr>
        <w:contextualSpacing w:val="0"/>
        <w:jc w:val="both"/>
        <w:spacing w:after="0" w:line="283" w:lineRule="atLeast"/>
        <w:rPr>
          <w:rFonts w:ascii="Tinos" w:hAnsi="Tinos" w:cs="Tinos"/>
          <w:b/>
          <w:color w:val="000000" w:themeColor="text1"/>
          <w:sz w:val="24"/>
          <w:szCs w:val="24"/>
        </w:rPr>
        <w:suppressLineNumbers w:val="0"/>
      </w:pPr>
      <w:r>
        <w:rPr>
          <w:rFonts w:ascii="Tinos" w:hAnsi="Tinos" w:eastAsia="Tinos" w:cs="Tinos"/>
          <w:b/>
          <w:color w:val="000000" w:themeColor="text1"/>
          <w:sz w:val="24"/>
          <w:szCs w:val="24"/>
        </w:rPr>
      </w:r>
      <w:r>
        <w:rPr>
          <w:rFonts w:ascii="Tinos" w:hAnsi="Tinos" w:cs="Tinos"/>
          <w:b/>
          <w:color w:val="000000" w:themeColor="text1"/>
          <w:sz w:val="24"/>
          <w:szCs w:val="24"/>
        </w:rPr>
      </w:r>
      <w:r>
        <w:rPr>
          <w:rFonts w:ascii="Tinos" w:hAnsi="Tinos" w:cs="Tinos"/>
          <w:b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83" w:lineRule="atLeast"/>
        <w:rPr>
          <w:rFonts w:ascii="Tinos" w:hAnsi="Tinos" w:cs="Tinos"/>
          <w:color w:val="000000" w:themeColor="text1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color w:val="000000" w:themeColor="text1"/>
          <w:sz w:val="24"/>
          <w:szCs w:val="24"/>
          <w:highlight w:val="none"/>
        </w:rPr>
      </w:r>
      <w:r>
        <w:rPr>
          <w:rFonts w:ascii="Tinos" w:hAnsi="Tinos" w:eastAsia="Tinos" w:cs="Tinos"/>
          <w:b/>
          <w:color w:val="000000" w:themeColor="text1"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83" w:lineRule="atLeast"/>
        <w:rPr>
          <w:rFonts w:ascii="Tinos" w:hAnsi="Tinos" w:eastAsia="Tinos" w:cs="Tinos"/>
          <w:b/>
          <w:bCs/>
          <w:color w:val="000000" w:themeColor="text1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color w:val="000000" w:themeColor="text1"/>
          <w:sz w:val="24"/>
          <w:szCs w:val="24"/>
        </w:rPr>
        <w:t xml:space="preserve">Как оформить в собственность капитальную баню, построенную в 97-м году? Объект не стоит на кадастровом учете, есть технический паспорт 2006 года.</w:t>
      </w: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b/>
          <w:bCs/>
          <w:color w:val="000000" w:themeColor="text1"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83" w:lineRule="atLeast"/>
        <w:rPr>
          <w:rFonts w:ascii="Tinos" w:hAnsi="Tinos" w:cs="Tinos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</w:r>
      <w:r>
        <w:rPr>
          <w:rFonts w:ascii="Tinos" w:hAnsi="Tinos" w:cs="Tinos"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83" w:lineRule="atLeast"/>
        <w:rPr>
          <w:rFonts w:ascii="Tinos" w:hAnsi="Tinos" w:cs="Tinos"/>
          <w:color w:val="000000" w:themeColor="text1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С 9 ноября 2024 года вступил в силу Закон о расширении действия «дачной амнистии». Она распространена также на хозяйственные постройки, представляющие собой объекты капитального строительства (сараи, бани, погреба, летние кухни, колодцы и т.д.). Пр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и этом важно соблюдение следующих условий:</w:t>
      </w: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cs="Tinos"/>
          <w:color w:val="000000" w:themeColor="text1"/>
          <w:sz w:val="21"/>
        </w:rPr>
      </w:r>
    </w:p>
    <w:p>
      <w:pPr>
        <w:contextualSpacing w:val="0"/>
        <w:ind w:left="0" w:right="0" w:firstLine="0"/>
        <w:jc w:val="both"/>
        <w:spacing w:before="0" w:after="0" w:line="283" w:lineRule="atLeast"/>
        <w:rPr>
          <w:rFonts w:ascii="Tinos" w:hAnsi="Tinos" w:cs="Tinos"/>
          <w:color w:val="000000" w:themeColor="text1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- в отношении этих объектов до 01.01.2013 должен быть осуществлен государственный технический учет или техническая инвентаризация;</w:t>
      </w: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cs="Tinos"/>
          <w:color w:val="000000" w:themeColor="text1"/>
          <w:sz w:val="21"/>
        </w:rPr>
      </w:r>
    </w:p>
    <w:p>
      <w:pPr>
        <w:contextualSpacing w:val="0"/>
        <w:ind w:left="0" w:right="0" w:firstLine="0"/>
        <w:jc w:val="both"/>
        <w:spacing w:before="0" w:after="0" w:line="283" w:lineRule="atLeast"/>
        <w:rPr>
          <w:rFonts w:ascii="Tinos" w:hAnsi="Tinos" w:cs="Tinos"/>
          <w:color w:val="000000" w:themeColor="text1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- они расположены на земельных участках, предназначенных для ИЖС, ЛПХ или ведения садоводства для собственных нужд;</w:t>
      </w: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cs="Tinos"/>
          <w:color w:val="000000" w:themeColor="text1"/>
          <w:sz w:val="21"/>
        </w:rPr>
      </w:r>
    </w:p>
    <w:p>
      <w:pPr>
        <w:contextualSpacing w:val="0"/>
        <w:ind w:left="0" w:right="0" w:firstLine="0"/>
        <w:jc w:val="both"/>
        <w:spacing w:before="0" w:after="0" w:line="283" w:lineRule="atLeast"/>
        <w:rPr>
          <w:rFonts w:ascii="Tinos" w:hAnsi="Tinos" w:cs="Tinos"/>
          <w:color w:val="000000" w:themeColor="text1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- такой земельный участок должен находиться в собственности гражданина либо принадлежать ему на праве пожизненного наследуемого владения, постоянного (бессрочного) пользования, безвозмездного пользования или аренды (если участок находится в государственной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 или муниципальной собственности).</w:t>
      </w: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cs="Tinos"/>
          <w:color w:val="000000" w:themeColor="text1"/>
          <w:sz w:val="21"/>
        </w:rPr>
      </w:r>
    </w:p>
    <w:p>
      <w:pPr>
        <w:contextualSpacing w:val="0"/>
        <w:ind w:left="0" w:right="0" w:firstLine="0"/>
        <w:jc w:val="both"/>
        <w:spacing w:before="0" w:after="0" w:line="283" w:lineRule="atLeast"/>
        <w:rPr>
          <w:rFonts w:ascii="Tinos" w:hAnsi="Tinos" w:eastAsia="Tinos" w:cs="Tinos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Для внесения в ЕГРН сведений об этих объектах как о ранее учтенных достаточно представить в МФЦ документ, подтверждающий ранее осуществленный технический учёт. В данном случае это технический паспорт.</w:t>
      </w:r>
      <w:r>
        <w:rPr>
          <w:rFonts w:ascii="Tinos" w:hAnsi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4"/>
          <w:szCs w:val="24"/>
        </w:rPr>
      </w:r>
    </w:p>
    <w:p>
      <w:pPr>
        <w:contextualSpacing w:val="0"/>
        <w:ind w:left="0" w:firstLine="0"/>
        <w:jc w:val="both"/>
        <w:spacing w:before="0" w:line="283" w:lineRule="atLeast"/>
        <w:rPr>
          <w:rFonts w:ascii="Tinos" w:hAnsi="Tinos" w:cs="Tinos"/>
          <w:b/>
          <w:bCs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nos" w:hAnsi="Tinos" w:eastAsia="Tinos" w:cs="Tinos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nos" w:hAnsi="Tinos" w:eastAsia="Tinos" w:cs="Tinos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nos" w:hAnsi="Tinos" w:cs="Tinos"/>
          <w:b/>
          <w:bCs/>
          <w:color w:val="000000" w:themeColor="text1"/>
          <w:sz w:val="24"/>
          <w:szCs w:val="24"/>
          <w:highlight w:val="none"/>
        </w:rPr>
      </w:r>
    </w:p>
    <w:p>
      <w:pPr>
        <w:contextualSpacing w:val="0"/>
        <w:ind w:left="0" w:firstLine="0"/>
        <w:jc w:val="both"/>
        <w:spacing w:before="0" w:line="283" w:lineRule="atLeast"/>
        <w:rPr>
          <w:rFonts w:ascii="Tinos" w:hAnsi="Tinos" w:eastAsia="Tinos" w:cs="Tinos"/>
          <w:b/>
          <w:bCs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nos" w:hAnsi="Tinos" w:eastAsia="Tinos" w:cs="Tinos"/>
          <w:b/>
          <w:bCs/>
          <w:color w:val="000000" w:themeColor="text1"/>
          <w:sz w:val="24"/>
          <w:szCs w:val="24"/>
        </w:rPr>
        <w:t xml:space="preserve">К какому специалисту обратиться за уточнением границ земельного участка?</w:t>
      </w:r>
      <w:r>
        <w:rPr>
          <w:rFonts w:ascii="Tinos" w:hAnsi="Tinos" w:eastAsia="Tinos" w:cs="Tinos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nos" w:hAnsi="Tinos" w:eastAsia="Tinos" w:cs="Tinos"/>
          <w:b/>
          <w:bCs/>
          <w:color w:val="000000" w:themeColor="text1"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both"/>
        <w:spacing w:line="283" w:lineRule="atLeast"/>
        <w:rPr>
          <w:rFonts w:ascii="Tinos" w:hAnsi="Tinos" w:cs="Tinos"/>
          <w:color w:val="000000" w:themeColor="text1"/>
          <w:highlight w:val="none"/>
        </w:rPr>
        <w:suppressLineNumbers w:val="0"/>
      </w:pP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  <w:t xml:space="preserve">Нужно обратиться к кадастровому инженеру. Результатом его работы станет межевой план. Это письменно-графическое описание земельного участка, содержащее сведения об</w:t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  <w:t xml:space="preserve"> основных характеристиках: о площади, расположении, форме, адресе, наличии смежных участков, о постройках, если таковые имеются. Межево</w:t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  <w:t xml:space="preserve">й план составляется в электронной форме и передается заказчику на диске. Найти кадастрового инженера поможет раздел «Открытая служба» на сайте Росреестра. Там в рубрике «Рейтинг кадастровых инженеров» представлен рейтинг специалистов, работающих в Хакасии.</w:t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  <w:t xml:space="preserve">Кроме того, обратиться за проведением кадастровых  работ можно в Публично-правовую компанию</w:t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  <w:t xml:space="preserve"> «Роскадастр». </w:t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  <w:t xml:space="preserve">Узнать подробности можно по телефону 8(3902)35-84-96 (дополнительный номер 2277, 2271, 2002).</w:t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</w:r>
      <w:r>
        <w:rPr>
          <w:rFonts w:ascii="Tinos" w:hAnsi="Tinos" w:cs="Tinos"/>
          <w:color w:val="000000" w:themeColor="text1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83" w:lineRule="atLeast"/>
        <w:rPr>
          <w:rFonts w:ascii="Tinos" w:hAnsi="Tinos" w:cs="Tinos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cs="Tinos"/>
          <w:color w:val="000000" w:themeColor="text1"/>
          <w:sz w:val="24"/>
          <w:szCs w:val="24"/>
        </w:rPr>
      </w:r>
    </w:p>
    <w:p>
      <w:pPr>
        <w:contextualSpacing w:val="0"/>
        <w:jc w:val="both"/>
        <w:spacing w:line="283" w:lineRule="atLeast"/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</w:r>
    </w:p>
    <w:p>
      <w:pPr>
        <w:contextualSpacing w:val="0"/>
        <w:jc w:val="right"/>
        <w:spacing w:line="283" w:lineRule="atLeast"/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  <w:t xml:space="preserve">Пресс-служба Росреестра Хакасии</w:t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2"/>
    <w:next w:val="832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2"/>
    <w:next w:val="832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2"/>
    <w:next w:val="832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No Spacing"/>
    <w:basedOn w:val="832"/>
    <w:uiPriority w:val="1"/>
    <w:qFormat/>
    <w:pPr>
      <w:spacing w:after="0" w:line="240" w:lineRule="auto"/>
    </w:pPr>
  </w:style>
  <w:style w:type="paragraph" w:styleId="836">
    <w:name w:val="List Paragraph"/>
    <w:basedOn w:val="832"/>
    <w:uiPriority w:val="34"/>
    <w:qFormat/>
    <w:pPr>
      <w:contextualSpacing/>
      <w:ind w:left="720"/>
    </w:pPr>
  </w:style>
  <w:style w:type="character" w:styleId="837" w:default="1">
    <w:name w:val="Default Paragraph Font"/>
    <w:uiPriority w:val="1"/>
    <w:semiHidden/>
    <w:unhideWhenUsed/>
  </w:style>
  <w:style w:type="paragraph" w:styleId="838" w:customStyle="1">
    <w:name w:val="s_13"/>
    <w:pPr>
      <w:contextualSpacing w:val="0"/>
      <w:ind w:left="0" w:right="0" w:firstLine="72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6"/>
      <w:szCs w:val="16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39" w:customStyle="1">
    <w:name w:val="Normal (Web)"/>
    <w:basedOn w:val="831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6</cp:revision>
  <dcterms:modified xsi:type="dcterms:W3CDTF">2025-02-03T06:53:36Z</dcterms:modified>
</cp:coreProperties>
</file>