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885" w:rsidRPr="00FB0885" w:rsidRDefault="00FB0885" w:rsidP="00FB0885">
      <w:pPr>
        <w:shd w:val="clear" w:color="auto" w:fill="FFFFFF"/>
        <w:spacing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08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Налоговый кодекс Российской Федерации внесены изменения в части списания долгов по кредитам организациям и индивидуальным предпринимателям</w:t>
      </w:r>
    </w:p>
    <w:p w:rsidR="00FB0885" w:rsidRDefault="00FB0885" w:rsidP="00FB0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</w:rPr>
        <w:t>Федеральным законом от 13.07.2020 № 204-ФЗ внесены изменения в часть вторую Налогового кодекса Российской Федерации, которые касаются возможности списания долгов по кредитам организациям и индивидуальным предпринимателям.</w:t>
      </w:r>
      <w:bookmarkStart w:id="0" w:name="_GoBack"/>
      <w:bookmarkEnd w:id="0"/>
    </w:p>
    <w:p w:rsidR="00FB0885" w:rsidRDefault="00FB0885" w:rsidP="00FB0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</w:rPr>
        <w:t>Для получения возможности, установленными нововведениями, кредитный договор должен соответствовать следующим условиям:</w:t>
      </w:r>
    </w:p>
    <w:p w:rsidR="00FB0885" w:rsidRDefault="00FB0885" w:rsidP="00FB0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</w:rPr>
        <w:t>- кредит предоставлен в 2020 году организациям и ИП на возобновление деятельности или неотложные нужды для поддержки и сохранения занятости;</w:t>
      </w:r>
    </w:p>
    <w:p w:rsidR="00FB0885" w:rsidRDefault="00FB0885" w:rsidP="00FB0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</w:rPr>
        <w:t>- банк получил субсидию по процентной ставке в отношении кредитного договора.</w:t>
      </w:r>
    </w:p>
    <w:p w:rsidR="00FB0885" w:rsidRDefault="00FB0885" w:rsidP="00FB0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</w:rPr>
        <w:t>Суммы прекращенных обязательств по уплате задолженности по таким договорам теперь относятся к безнадежным долгам. Следовательно, банк может их списать.</w:t>
      </w:r>
    </w:p>
    <w:p w:rsidR="00FB0885" w:rsidRDefault="00FB0885" w:rsidP="00FB0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</w:rPr>
        <w:t xml:space="preserve">Нормы распространяются на правоотношения, возникшие с 1 января 2020 года, и действуют до 31 декабря 2021 года. Также, сумма </w:t>
      </w:r>
      <w:proofErr w:type="gramStart"/>
      <w:r>
        <w:rPr>
          <w:rFonts w:ascii="Roboto" w:hAnsi="Roboto"/>
          <w:color w:val="000000"/>
          <w:sz w:val="28"/>
          <w:szCs w:val="28"/>
        </w:rPr>
        <w:t>прощенного</w:t>
      </w:r>
      <w:proofErr w:type="gramEnd"/>
      <w:r>
        <w:rPr>
          <w:rFonts w:ascii="Roboto" w:hAnsi="Roboto"/>
          <w:color w:val="000000"/>
          <w:sz w:val="28"/>
          <w:szCs w:val="28"/>
        </w:rPr>
        <w:t xml:space="preserve"> долга и начисленных процентов у должника не облагается ни налогом на прибыль, ни НДФЛ.</w:t>
      </w:r>
    </w:p>
    <w:p w:rsidR="00FB0885" w:rsidRDefault="00FB0885" w:rsidP="00FB0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</w:rPr>
        <w:t>Изменениями также установлено, когда проценты по названным договорам нужно учитывать в доходах и расходах при расчете налога на прибыль. Кредитная организация включает проценты в налоговую базу, а должник уменьшает ее на дату, предусмотренную в договоре. Эти положения применяются до конца 2024 года.</w:t>
      </w:r>
    </w:p>
    <w:p w:rsidR="00FB0885" w:rsidRDefault="00FB0885" w:rsidP="00FB0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</w:rPr>
        <w:t>Федеральный закон вступил в силу 13 июля 2020 года.</w:t>
      </w:r>
    </w:p>
    <w:p w:rsidR="008D5FF7" w:rsidRDefault="008D5FF7" w:rsidP="00FB0885">
      <w:pPr>
        <w:spacing w:after="0" w:line="240" w:lineRule="auto"/>
        <w:ind w:firstLine="709"/>
      </w:pPr>
    </w:p>
    <w:sectPr w:rsidR="008D5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885"/>
    <w:rsid w:val="008D5FF7"/>
    <w:rsid w:val="00FB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08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08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B0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08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08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B0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2020-08-14T02:00:00Z</dcterms:created>
  <dcterms:modified xsi:type="dcterms:W3CDTF">2020-08-14T02:01:00Z</dcterms:modified>
</cp:coreProperties>
</file>