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844"/>
        <w:contextualSpacing w:val="0"/>
        <w:jc w:val="both"/>
        <w:spacing w:after="0" w:line="283" w:lineRule="atLeast"/>
        <w:rPr>
          <w:rFonts w:ascii="Tinos" w:hAnsi="Tinos" w:cs="Tinos"/>
          <w:color w:val="000000" w:themeColor="text1"/>
          <w:sz w:val="26"/>
          <w:szCs w:val="26"/>
        </w:rPr>
        <w:suppressLineNumbers w:val="0"/>
      </w:pPr>
      <w:r>
        <w:rPr>
          <w:rFonts w:ascii="Tinos" w:hAnsi="Tinos" w:eastAsia="Tinos" w:cs="Tinos"/>
          <w:color w:val="000000" w:themeColor="text1"/>
          <w:sz w:val="26"/>
          <w:szCs w:val="26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2096465" cy="771288"/>
                <wp:effectExtent l="0" t="0" r="0" b="0"/>
                <wp:docPr id="1" name="_x0000_i1026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9"/>
                        <a:stretch/>
                      </pic:blipFill>
                      <pic:spPr bwMode="auto">
                        <a:xfrm>
                          <a:off x="0" y="0"/>
                          <a:ext cx="2096465" cy="77128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width:165.08pt;height:60.73pt;mso-wrap-distance-left:0.00pt;mso-wrap-distance-top:0.00pt;mso-wrap-distance-right:0.00pt;mso-wrap-distance-bottom:0.00pt;" stroked="f">
                <v:path textboxrect="0,0,0,0"/>
                <v:imagedata r:id="rId9" o:title=""/>
              </v:shape>
            </w:pict>
          </mc:Fallback>
        </mc:AlternateContent>
      </w:r>
      <w:r>
        <w:rPr>
          <w:rFonts w:ascii="Tinos" w:hAnsi="Tinos" w:eastAsia="Tinos" w:cs="Tinos"/>
          <w:color w:val="000000" w:themeColor="text1"/>
          <w:sz w:val="26"/>
          <w:szCs w:val="26"/>
        </w:rPr>
      </w:r>
      <w:r>
        <w:rPr>
          <w:rFonts w:ascii="Tinos" w:hAnsi="Tinos" w:cs="Tinos"/>
          <w:color w:val="000000" w:themeColor="text1"/>
          <w:sz w:val="26"/>
          <w:szCs w:val="26"/>
        </w:rPr>
      </w:r>
    </w:p>
    <w:p>
      <w:pPr>
        <w:pStyle w:val="844"/>
        <w:contextualSpacing w:val="0"/>
        <w:ind w:firstLine="709"/>
        <w:jc w:val="right"/>
        <w:spacing w:after="0" w:line="283" w:lineRule="atLeast"/>
        <w:rPr>
          <w:rFonts w:ascii="Tinos" w:hAnsi="Tinos" w:cs="Tinos"/>
          <w:color w:val="000000" w:themeColor="text1"/>
          <w:sz w:val="26"/>
          <w:szCs w:val="26"/>
        </w:rPr>
        <w:suppressLineNumbers w:val="0"/>
      </w:pPr>
      <w:r>
        <w:rPr>
          <w:rFonts w:ascii="Tinos" w:hAnsi="Tinos" w:eastAsia="Tinos" w:cs="Tinos"/>
          <w:color w:val="000000" w:themeColor="text1"/>
          <w:sz w:val="26"/>
          <w:szCs w:val="26"/>
          <w:lang w:eastAsia="sk-SK"/>
        </w:rPr>
        <w:t xml:space="preserve">Пресс-релиз</w:t>
      </w:r>
      <w:r>
        <w:rPr>
          <w:rFonts w:ascii="Tinos" w:hAnsi="Tinos" w:eastAsia="Tinos" w:cs="Tinos"/>
          <w:color w:val="000000" w:themeColor="text1"/>
          <w:sz w:val="26"/>
          <w:szCs w:val="26"/>
        </w:rPr>
      </w:r>
      <w:r>
        <w:rPr>
          <w:rFonts w:ascii="Tinos" w:hAnsi="Tinos" w:cs="Tinos"/>
          <w:color w:val="000000" w:themeColor="text1"/>
          <w:sz w:val="26"/>
          <w:szCs w:val="26"/>
        </w:rPr>
      </w:r>
    </w:p>
    <w:p>
      <w:pPr>
        <w:pStyle w:val="862"/>
        <w:contextualSpacing w:val="0"/>
        <w:jc w:val="both"/>
        <w:spacing w:before="0" w:after="0" w:line="283" w:lineRule="atLeast"/>
        <w:shd w:val="clear" w:color="auto" w:fill="auto"/>
        <w:rPr>
          <w:rFonts w:ascii="Tinos" w:hAnsi="Tinos" w:cs="Tinos"/>
          <w:b/>
          <w:color w:val="000000" w:themeColor="text1"/>
          <w:sz w:val="26"/>
          <w:szCs w:val="26"/>
        </w:rPr>
        <w:suppressLineNumbers w:val="0"/>
      </w:pPr>
      <w:r>
        <w:rPr>
          <w:rFonts w:ascii="Tinos" w:hAnsi="Tinos" w:eastAsia="Tinos" w:cs="Tinos"/>
          <w:b/>
          <w:color w:val="000000" w:themeColor="text1"/>
          <w:sz w:val="26"/>
          <w:szCs w:val="26"/>
        </w:rPr>
      </w:r>
      <w:r>
        <w:rPr>
          <w:rFonts w:ascii="Tinos" w:hAnsi="Tinos" w:eastAsia="Tinos" w:cs="Tinos"/>
          <w:b/>
          <w:color w:val="000000" w:themeColor="text1"/>
          <w:sz w:val="26"/>
          <w:szCs w:val="26"/>
        </w:rPr>
      </w:r>
      <w:r>
        <w:rPr>
          <w:rFonts w:ascii="Tinos" w:hAnsi="Tinos" w:cs="Tinos"/>
          <w:b/>
          <w:color w:val="000000" w:themeColor="text1"/>
          <w:sz w:val="26"/>
          <w:szCs w:val="26"/>
        </w:rPr>
      </w:r>
    </w:p>
    <w:p>
      <w:pPr>
        <w:pStyle w:val="844"/>
        <w:contextualSpacing w:val="0"/>
        <w:jc w:val="both"/>
        <w:spacing w:after="0" w:line="283" w:lineRule="atLeast"/>
        <w:shd w:val="clear" w:color="auto" w:fill="ffffff"/>
        <w:rPr>
          <w:rFonts w:ascii="Tinos" w:hAnsi="Tinos" w:cs="Tinos"/>
          <w:b/>
          <w:color w:val="000000" w:themeColor="text1"/>
          <w:sz w:val="26"/>
          <w:szCs w:val="26"/>
          <w:shd w:val="clear" w:color="auto" w:fill="ffffff"/>
        </w:rPr>
        <w:suppressLineNumbers w:val="0"/>
      </w:pPr>
      <w:r>
        <w:rPr>
          <w:rFonts w:ascii="Tinos" w:hAnsi="Tinos" w:eastAsia="Tinos" w:cs="Tinos"/>
          <w:b/>
          <w:color w:val="000000" w:themeColor="text1"/>
          <w:sz w:val="26"/>
          <w:szCs w:val="26"/>
          <w:shd w:val="clear" w:color="auto" w:fill="ffffff"/>
        </w:rPr>
      </w:r>
      <w:r>
        <w:rPr>
          <w:rFonts w:ascii="Tinos" w:hAnsi="Tinos" w:eastAsia="Tinos" w:cs="Tinos"/>
          <w:b/>
          <w:color w:val="000000" w:themeColor="text1"/>
          <w:sz w:val="26"/>
          <w:szCs w:val="26"/>
          <w:shd w:val="clear" w:color="auto" w:fill="ffffff"/>
        </w:rPr>
      </w:r>
      <w:r>
        <w:rPr>
          <w:rFonts w:ascii="Tinos" w:hAnsi="Tinos" w:cs="Tinos"/>
          <w:b/>
          <w:color w:val="000000" w:themeColor="text1"/>
          <w:sz w:val="26"/>
          <w:szCs w:val="26"/>
          <w:shd w:val="clear" w:color="auto" w:fill="ffffff"/>
        </w:rPr>
      </w:r>
    </w:p>
    <w:p>
      <w:pPr>
        <w:contextualSpacing w:val="0"/>
        <w:ind w:left="0" w:right="0" w:firstLine="0"/>
        <w:jc w:val="center"/>
        <w:spacing w:before="0" w:after="0" w:line="283" w:lineRule="atLeast"/>
        <w:rPr>
          <w:rFonts w:ascii="Tinos" w:hAnsi="Tinos" w:cs="Tinos"/>
          <w:color w:val="000000" w:themeColor="text1"/>
          <w:sz w:val="26"/>
          <w:szCs w:val="26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rFonts w:ascii="Tinos" w:hAnsi="Tinos" w:eastAsia="Tinos" w:cs="Tinos"/>
          <w:b/>
          <w:color w:val="000000" w:themeColor="text1"/>
          <w:sz w:val="26"/>
          <w:szCs w:val="26"/>
        </w:rPr>
        <w:t xml:space="preserve">Оформлять жилые дома в собственность нужно будет сразу после завершения строительства</w:t>
      </w:r>
      <w:r>
        <w:rPr>
          <w:rFonts w:ascii="Tinos" w:hAnsi="Tinos" w:eastAsia="Tinos" w:cs="Tinos"/>
          <w:color w:val="000000" w:themeColor="text1"/>
          <w:sz w:val="26"/>
          <w:szCs w:val="26"/>
        </w:rPr>
      </w:r>
    </w:p>
    <w:p>
      <w:pPr>
        <w:contextualSpacing w:val="0"/>
        <w:ind w:left="0" w:right="0" w:firstLine="0"/>
        <w:jc w:val="both"/>
        <w:spacing w:before="0" w:after="0" w:line="283" w:lineRule="atLeast"/>
        <w:rPr>
          <w:rFonts w:ascii="Tinos" w:hAnsi="Tinos" w:eastAsia="Tinos" w:cs="Tinos"/>
          <w:color w:val="000000" w:themeColor="text1"/>
          <w:sz w:val="26"/>
          <w:szCs w:val="26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rFonts w:ascii="Tinos" w:hAnsi="Tinos" w:eastAsia="Tinos" w:cs="Tinos"/>
          <w:color w:val="000000" w:themeColor="text1"/>
          <w:sz w:val="26"/>
          <w:szCs w:val="26"/>
          <w:highlight w:val="none"/>
        </w:rPr>
      </w:r>
      <w:r>
        <w:rPr>
          <w:rFonts w:ascii="Tinos" w:hAnsi="Tinos" w:eastAsia="Tinos" w:cs="Tinos"/>
          <w:color w:val="000000" w:themeColor="text1"/>
          <w:sz w:val="26"/>
          <w:szCs w:val="26"/>
          <w:highlight w:val="none"/>
        </w:rPr>
      </w:r>
    </w:p>
    <w:p>
      <w:pPr>
        <w:contextualSpacing w:val="0"/>
        <w:ind w:left="0" w:right="0" w:firstLine="0"/>
        <w:jc w:val="both"/>
        <w:spacing w:before="0" w:after="0" w:line="283" w:lineRule="atLeast"/>
        <w:rPr>
          <w:rFonts w:ascii="Tinos" w:hAnsi="Tinos" w:eastAsia="Tinos" w:cs="Tinos"/>
          <w:color w:val="000000" w:themeColor="text1"/>
          <w:sz w:val="26"/>
          <w:szCs w:val="26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rFonts w:ascii="Tinos" w:hAnsi="Tinos" w:eastAsia="Tinos" w:cs="Tinos"/>
          <w:color w:val="000000" w:themeColor="text1"/>
          <w:sz w:val="26"/>
          <w:szCs w:val="26"/>
        </w:rPr>
        <w:t xml:space="preserve">Государственная Дума приняла в третьем чтении Федеральный закон, которым предусмотрен комплекс мер в целях повышения эффективности использования земельных участков и объектов недвижимости. Проект закона разработан Росреестром.</w:t>
        <w:br/>
        <w:br/>
        <w:t xml:space="preserve">В частности, законом предусм</w:t>
      </w:r>
      <w:r>
        <w:rPr>
          <w:rFonts w:ascii="Tinos" w:hAnsi="Tinos" w:eastAsia="Tinos" w:cs="Tinos"/>
          <w:color w:val="000000" w:themeColor="text1"/>
          <w:sz w:val="26"/>
          <w:szCs w:val="26"/>
        </w:rPr>
        <w:t xml:space="preserve">отрены механизмы, стимулирующие оформление земельных участков, зданий и сооружений гражданами и юридическими лицами.</w:t>
        <w:br/>
        <w:br/>
        <w:t xml:space="preserve">Существующий в настоящее время порядок эксплуатации зданий и сооружений не обязывает их ставить на государственный кадастровый учет и осущ</w:t>
      </w:r>
      <w:r>
        <w:rPr>
          <w:rFonts w:ascii="Tinos" w:hAnsi="Tinos" w:eastAsia="Tinos" w:cs="Tinos"/>
          <w:color w:val="000000" w:themeColor="text1"/>
          <w:sz w:val="26"/>
          <w:szCs w:val="26"/>
        </w:rPr>
        <w:t xml:space="preserve">ествлять регистрацию прав. </w:t>
      </w:r>
      <w:r>
        <w:rPr>
          <w:rFonts w:ascii="Tinos" w:hAnsi="Tinos" w:eastAsia="Tinos" w:cs="Tinos"/>
          <w:color w:val="000000" w:themeColor="text1"/>
          <w:sz w:val="26"/>
          <w:szCs w:val="26"/>
          <w:highlight w:val="none"/>
        </w:rPr>
      </w:r>
    </w:p>
    <w:p>
      <w:pPr>
        <w:contextualSpacing w:val="0"/>
        <w:ind w:left="0" w:right="0" w:firstLine="0"/>
        <w:jc w:val="both"/>
        <w:spacing w:before="0" w:after="0" w:line="283" w:lineRule="atLeast"/>
        <w:rPr>
          <w:rFonts w:ascii="Tinos" w:hAnsi="Tinos" w:eastAsia="Tinos" w:cs="Tinos"/>
          <w:color w:val="000000" w:themeColor="text1"/>
          <w:sz w:val="26"/>
          <w:szCs w:val="26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rFonts w:ascii="Tinos" w:hAnsi="Tinos" w:eastAsia="Tinos" w:cs="Tinos"/>
          <w:color w:val="000000" w:themeColor="text1"/>
          <w:sz w:val="26"/>
          <w:szCs w:val="26"/>
          <w:highlight w:val="none"/>
        </w:rPr>
      </w:r>
      <w:r>
        <w:rPr>
          <w:rFonts w:ascii="Tinos" w:hAnsi="Tinos" w:eastAsia="Tinos" w:cs="Tinos"/>
          <w:color w:val="000000" w:themeColor="text1"/>
          <w:sz w:val="26"/>
          <w:szCs w:val="26"/>
          <w:highlight w:val="none"/>
        </w:rPr>
      </w:r>
    </w:p>
    <w:p>
      <w:pPr>
        <w:contextualSpacing w:val="0"/>
        <w:ind w:left="0" w:right="0" w:firstLine="0"/>
        <w:jc w:val="both"/>
        <w:spacing w:before="0" w:after="0" w:line="283" w:lineRule="atLeast"/>
        <w:rPr>
          <w:rFonts w:ascii="Tinos" w:hAnsi="Tinos" w:eastAsia="Tinos" w:cs="Tinos"/>
          <w:bCs/>
          <w:i/>
          <w:color w:val="000000" w:themeColor="text1"/>
          <w:sz w:val="26"/>
          <w:szCs w:val="26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rFonts w:ascii="Tinos" w:hAnsi="Tinos" w:eastAsia="Tinos" w:cs="Tinos"/>
          <w:color w:val="000000" w:themeColor="text1"/>
          <w:sz w:val="26"/>
          <w:szCs w:val="26"/>
        </w:rPr>
        <w:t xml:space="preserve">По оценкам Росреестра Хакасии, </w:t>
      </w:r>
      <w:r>
        <w:rPr>
          <w:rFonts w:ascii="Tinos" w:hAnsi="Tinos" w:eastAsia="Tinos" w:cs="Tinos"/>
          <w:color w:val="000000" w:themeColor="text1"/>
          <w:sz w:val="26"/>
          <w:szCs w:val="26"/>
        </w:rPr>
        <w:t xml:space="preserve">в республике из 850 тысяч объектов недвижимости, находящихся в ЕГРН, 22% не имеют прав</w:t>
      </w:r>
      <w:r>
        <w:rPr>
          <w:rFonts w:ascii="Tinos" w:hAnsi="Tinos" w:eastAsia="Tinos" w:cs="Tinos"/>
          <w:color w:val="000000" w:themeColor="text1"/>
          <w:sz w:val="26"/>
          <w:szCs w:val="26"/>
        </w:rPr>
        <w:t xml:space="preserve">.  При этом меры, обязывающие обеспечить их оформление, закон</w:t>
      </w:r>
      <w:r>
        <w:rPr>
          <w:rFonts w:ascii="Tinos" w:hAnsi="Tinos" w:eastAsia="Tinos" w:cs="Tinos"/>
          <w:color w:val="000000" w:themeColor="text1"/>
          <w:sz w:val="26"/>
          <w:szCs w:val="26"/>
        </w:rPr>
        <w:t xml:space="preserve">одательством не предусмотрены.</w:t>
        <w:br/>
        <w:br/>
      </w:r>
      <w:r>
        <w:rPr>
          <w:rFonts w:ascii="Tinos" w:hAnsi="Tinos" w:eastAsia="Tinos" w:cs="Tinos"/>
          <w:i/>
          <w:color w:val="000000" w:themeColor="text1"/>
          <w:sz w:val="26"/>
          <w:szCs w:val="26"/>
        </w:rPr>
        <w:t xml:space="preserve">«Важно понимать, что право собственности на построенный объект возникает только после его постановки на кадастровый учет и оформления права собственности. Не оформленный дом является угрозой </w:t>
      </w:r>
      <w:r>
        <w:rPr>
          <w:rFonts w:ascii="Tinos" w:hAnsi="Tinos" w:eastAsia="Tinos" w:cs="Tinos"/>
          <w:i/>
          <w:color w:val="000000" w:themeColor="text1"/>
          <w:sz w:val="26"/>
          <w:szCs w:val="26"/>
        </w:rPr>
        <w:t xml:space="preserve">защите имущественных прав, которая становится очевидной при наступлении ЧС, изъятии земельного участка для государственных</w:t>
      </w:r>
      <w:r>
        <w:rPr>
          <w:rFonts w:ascii="Tinos" w:hAnsi="Tinos" w:eastAsia="Tinos" w:cs="Tinos"/>
          <w:i/>
          <w:color w:val="000000" w:themeColor="text1"/>
          <w:sz w:val="26"/>
          <w:szCs w:val="26"/>
        </w:rPr>
        <w:t xml:space="preserve"> нужд или в ходе земельного или имущественного спора. При возникновении таких ситуаций, доказать</w:t>
      </w:r>
      <w:r>
        <w:rPr>
          <w:rFonts w:ascii="Tinos" w:hAnsi="Tinos" w:eastAsia="Tinos" w:cs="Tinos"/>
          <w:color w:val="000000" w:themeColor="text1"/>
          <w:sz w:val="26"/>
          <w:szCs w:val="26"/>
          <w:highlight w:val="none"/>
        </w:rPr>
      </w:r>
      <w:r>
        <w:rPr>
          <w:rFonts w:ascii="Tinos" w:hAnsi="Tinos" w:eastAsia="Tinos" w:cs="Tinos"/>
          <w:i/>
          <w:color w:val="000000" w:themeColor="text1"/>
          <w:sz w:val="26"/>
          <w:szCs w:val="26"/>
        </w:rPr>
        <w:t xml:space="preserve"> наличие права на недвижимость становится серьёзной проблемой. Законом вводится принцип «построил – оформи», в соответствии с которым эксплуатировать построенные здания и соору</w:t>
      </w:r>
      <w:r>
        <w:rPr>
          <w:rFonts w:ascii="Tinos" w:hAnsi="Tinos" w:eastAsia="Tinos" w:cs="Tinos"/>
          <w:i/>
          <w:color w:val="000000" w:themeColor="text1"/>
          <w:sz w:val="26"/>
          <w:szCs w:val="26"/>
        </w:rPr>
        <w:t xml:space="preserve">жения можно будет только после их оформления», – прокомментировала руководитель регионального Росреестра Ольга Анисимова. </w:t>
      </w:r>
      <w:r>
        <w:rPr>
          <w:rFonts w:ascii="Tinos" w:hAnsi="Tinos" w:eastAsia="Tinos" w:cs="Tinos"/>
          <w:bCs/>
          <w:i/>
          <w:color w:val="000000" w:themeColor="text1"/>
          <w:sz w:val="26"/>
          <w:szCs w:val="26"/>
        </w:rPr>
      </w:r>
    </w:p>
    <w:p>
      <w:pPr>
        <w:contextualSpacing w:val="0"/>
        <w:ind w:left="0" w:right="0" w:firstLine="0"/>
        <w:jc w:val="both"/>
        <w:spacing w:before="0" w:after="0" w:line="283" w:lineRule="atLeast"/>
        <w:rPr>
          <w:rFonts w:ascii="Tinos" w:hAnsi="Tinos" w:eastAsia="Tinos" w:cs="Tinos"/>
          <w:bCs/>
          <w:i/>
          <w:color w:val="000000" w:themeColor="text1"/>
          <w:sz w:val="26"/>
          <w:szCs w:val="26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rFonts w:ascii="Tinos" w:hAnsi="Tinos" w:eastAsia="Tinos" w:cs="Tinos"/>
          <w:color w:val="000000" w:themeColor="text1"/>
          <w:sz w:val="26"/>
          <w:szCs w:val="26"/>
          <w:highlight w:val="none"/>
        </w:rPr>
      </w:r>
      <w:r>
        <w:rPr>
          <w:rFonts w:ascii="Tinos" w:hAnsi="Tinos" w:eastAsia="Tinos" w:cs="Tinos"/>
          <w:color w:val="000000" w:themeColor="text1"/>
          <w:sz w:val="26"/>
          <w:szCs w:val="26"/>
          <w:highlight w:val="none"/>
        </w:rPr>
      </w:r>
    </w:p>
    <w:p>
      <w:pPr>
        <w:contextualSpacing w:val="0"/>
        <w:ind w:left="0" w:right="0" w:firstLine="0"/>
        <w:jc w:val="both"/>
        <w:spacing w:before="0" w:after="0" w:line="283" w:lineRule="atLeast"/>
        <w:rPr>
          <w:rFonts w:ascii="Tinos" w:hAnsi="Tinos" w:eastAsia="Tinos" w:cs="Tinos"/>
          <w:bCs w:val="0"/>
          <w:i w:val="0"/>
          <w:color w:val="000000" w:themeColor="text1"/>
          <w:sz w:val="26"/>
          <w:szCs w:val="26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rFonts w:ascii="Tinos" w:hAnsi="Tinos" w:eastAsia="Tinos" w:cs="Tinos"/>
          <w:i w:val="0"/>
          <w:iCs w:val="0"/>
          <w:color w:val="000000" w:themeColor="text1"/>
          <w:sz w:val="26"/>
          <w:szCs w:val="26"/>
        </w:rPr>
        <w:t xml:space="preserve">Она также отметила, что  оформить в собственность жилой дом можно будет, в том числе, с использованием упрощённого порядка оформления прав на бытовую недвижимость (например, в рамках «дачной амнистии»). А направление документов через электронные сервисы поможет в сокращенные сроки получить услугу. </w:t>
      </w:r>
      <w:r>
        <w:rPr>
          <w:i w:val="0"/>
          <w:iCs w:val="0"/>
        </w:rPr>
      </w:r>
    </w:p>
    <w:p>
      <w:pPr>
        <w:contextualSpacing w:val="0"/>
        <w:ind w:left="0" w:right="0" w:firstLine="0"/>
        <w:jc w:val="both"/>
        <w:spacing w:before="0" w:after="0" w:line="283" w:lineRule="atLeast"/>
        <w:rPr>
          <w:rFonts w:ascii="Tinos" w:hAnsi="Tinos" w:eastAsia="Tinos" w:cs="Tinos"/>
          <w:color w:val="000000" w:themeColor="text1"/>
          <w:sz w:val="26"/>
          <w:szCs w:val="26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rFonts w:ascii="Tinos" w:hAnsi="Tinos" w:eastAsia="Tinos" w:cs="Tinos"/>
          <w:color w:val="000000" w:themeColor="text1"/>
          <w:sz w:val="26"/>
          <w:szCs w:val="26"/>
          <w:highlight w:val="none"/>
        </w:rPr>
      </w:r>
      <w:r>
        <w:rPr>
          <w:rFonts w:ascii="Tinos" w:hAnsi="Tinos" w:eastAsia="Tinos" w:cs="Tinos"/>
          <w:color w:val="000000" w:themeColor="text1"/>
          <w:sz w:val="26"/>
          <w:szCs w:val="26"/>
          <w:highlight w:val="none"/>
        </w:rPr>
      </w:r>
    </w:p>
    <w:p>
      <w:pPr>
        <w:contextualSpacing w:val="0"/>
        <w:ind w:left="0" w:right="0" w:firstLine="0"/>
        <w:jc w:val="both"/>
        <w:spacing w:before="0" w:after="0" w:line="283" w:lineRule="atLeast"/>
        <w:rPr>
          <w:rFonts w:ascii="Tinos" w:hAnsi="Tinos" w:eastAsia="Tinos" w:cs="Tinos"/>
          <w:color w:val="000000" w:themeColor="text1"/>
          <w:sz w:val="26"/>
          <w:szCs w:val="26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rFonts w:ascii="Tinos" w:hAnsi="Tinos" w:eastAsia="Tinos" w:cs="Tinos"/>
          <w:color w:val="000000" w:themeColor="text1"/>
          <w:sz w:val="26"/>
          <w:szCs w:val="26"/>
        </w:rPr>
        <w:t xml:space="preserve">Если объект построен застройщиком с привлечением средств участников долевого строительства, то он будет представлять в Росреестр заявление о государственной регистрации права собственности дольщика на квартиру или машино-место, что избавит граждан от ли</w:t>
      </w:r>
      <w:r>
        <w:rPr>
          <w:rFonts w:ascii="Tinos" w:hAnsi="Tinos" w:eastAsia="Tinos" w:cs="Tinos"/>
          <w:color w:val="000000" w:themeColor="text1"/>
          <w:sz w:val="26"/>
          <w:szCs w:val="26"/>
        </w:rPr>
        <w:t xml:space="preserve">шних временных и трудовых затрат. Документы будут подаваться в электронном виде без затрат граждан на изготовление электронной цифровой подписи.</w:t>
      </w:r>
      <w:r>
        <w:rPr>
          <w:rFonts w:ascii="Tinos" w:hAnsi="Tinos" w:cs="Tinos"/>
          <w:color w:val="000000" w:themeColor="text1"/>
          <w:sz w:val="26"/>
          <w:szCs w:val="26"/>
        </w:rPr>
      </w:r>
      <w:r/>
    </w:p>
    <w:p>
      <w:pPr>
        <w:contextualSpacing w:val="0"/>
        <w:ind w:left="0" w:right="0" w:firstLine="0"/>
        <w:jc w:val="both"/>
        <w:spacing w:before="0" w:after="0" w:line="283" w:lineRule="atLeast"/>
        <w:rPr>
          <w:rFonts w:ascii="Tinos" w:hAnsi="Tinos" w:cs="Tinos"/>
          <w:color w:val="000000" w:themeColor="text1"/>
          <w:sz w:val="26"/>
          <w:szCs w:val="26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rFonts w:ascii="Tinos" w:hAnsi="Tinos" w:eastAsia="Tinos" w:cs="Tinos"/>
          <w:color w:val="000000" w:themeColor="text1"/>
          <w:sz w:val="26"/>
          <w:szCs w:val="26"/>
          <w:highlight w:val="none"/>
        </w:rPr>
      </w:r>
      <w:r>
        <w:rPr>
          <w:rFonts w:ascii="Tinos" w:hAnsi="Tinos" w:eastAsia="Tinos" w:cs="Tinos"/>
          <w:color w:val="000000" w:themeColor="text1"/>
          <w:sz w:val="26"/>
          <w:szCs w:val="26"/>
          <w:highlight w:val="none"/>
        </w:rPr>
      </w:r>
    </w:p>
    <w:p>
      <w:pPr>
        <w:contextualSpacing w:val="0"/>
        <w:ind w:left="0" w:right="0" w:firstLine="0"/>
        <w:jc w:val="both"/>
        <w:spacing w:before="0" w:after="0" w:line="283" w:lineRule="atLeast"/>
        <w:rPr>
          <w:rFonts w:ascii="Tinos" w:hAnsi="Tinos" w:eastAsia="Tinos" w:cs="Tinos"/>
          <w:color w:val="000000" w:themeColor="text1"/>
          <w:sz w:val="26"/>
          <w:szCs w:val="26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rFonts w:ascii="Tinos" w:hAnsi="Tinos" w:eastAsia="Tinos" w:cs="Tinos"/>
          <w:color w:val="000000" w:themeColor="text1"/>
          <w:sz w:val="26"/>
          <w:szCs w:val="26"/>
        </w:rPr>
        <w:t xml:space="preserve">Также законом определяется, что эксплуатация зданий и сооружений должна осуществляться с соблюдением целевого </w:t>
      </w:r>
      <w:r>
        <w:rPr>
          <w:rFonts w:ascii="Tinos" w:hAnsi="Tinos" w:eastAsia="Tinos" w:cs="Tinos"/>
          <w:color w:val="000000" w:themeColor="text1"/>
          <w:sz w:val="26"/>
          <w:szCs w:val="26"/>
        </w:rPr>
        <w:t xml:space="preserve">назначения и разрешенного использования земельных участков, на которых они расположены. Необходимо исключить случаи, когда на земельных участках, предназначенных, например, для индивидуального жилищного строительства, открываются автомойки и гостиницы. Это</w:t>
      </w:r>
      <w:r>
        <w:rPr>
          <w:rFonts w:ascii="Tinos" w:hAnsi="Tinos" w:eastAsia="Tinos" w:cs="Tinos"/>
          <w:color w:val="000000" w:themeColor="text1"/>
          <w:sz w:val="26"/>
          <w:szCs w:val="26"/>
        </w:rPr>
        <w:t xml:space="preserve"> противоречит правовому режиму земли и доставляет дополнительные неудобства соседям.</w:t>
      </w:r>
      <w:r>
        <w:rPr>
          <w:rFonts w:ascii="Tinos" w:hAnsi="Tinos" w:eastAsia="Tinos" w:cs="Tinos"/>
          <w:color w:val="000000" w:themeColor="text1"/>
          <w:sz w:val="26"/>
          <w:szCs w:val="26"/>
        </w:rPr>
      </w:r>
    </w:p>
    <w:p>
      <w:pPr>
        <w:contextualSpacing w:val="0"/>
        <w:ind w:left="0" w:right="0" w:firstLine="0"/>
        <w:jc w:val="both"/>
        <w:spacing w:before="0" w:after="0" w:line="283" w:lineRule="atLeast"/>
        <w:rPr>
          <w:rFonts w:ascii="Tinos" w:hAnsi="Tinos" w:eastAsia="Tinos" w:cs="Tinos"/>
          <w:color w:val="000000" w:themeColor="text1"/>
          <w:sz w:val="26"/>
          <w:szCs w:val="26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rFonts w:ascii="Tinos" w:hAnsi="Tinos" w:eastAsia="Tinos" w:cs="Tinos"/>
          <w:color w:val="000000" w:themeColor="text1"/>
          <w:sz w:val="26"/>
          <w:szCs w:val="26"/>
          <w:highlight w:val="none"/>
        </w:rPr>
      </w:r>
      <w:r>
        <w:rPr>
          <w:rFonts w:ascii="Tinos" w:hAnsi="Tinos" w:eastAsia="Tinos" w:cs="Tinos"/>
          <w:color w:val="000000" w:themeColor="text1"/>
          <w:sz w:val="26"/>
          <w:szCs w:val="26"/>
          <w:highlight w:val="none"/>
        </w:rPr>
      </w:r>
    </w:p>
    <w:p>
      <w:pPr>
        <w:contextualSpacing w:val="0"/>
        <w:ind w:left="0" w:right="0" w:firstLine="0"/>
        <w:jc w:val="both"/>
        <w:spacing w:before="0" w:after="0" w:line="283" w:lineRule="atLeast"/>
        <w:rPr>
          <w:rFonts w:ascii="Tinos" w:hAnsi="Tinos" w:eastAsia="Tinos" w:cs="Tinos"/>
          <w:color w:val="000000" w:themeColor="text1"/>
          <w:sz w:val="26"/>
          <w:szCs w:val="26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rFonts w:ascii="Tinos" w:hAnsi="Tinos" w:eastAsia="Tinos" w:cs="Tinos"/>
          <w:color w:val="000000" w:themeColor="text1"/>
          <w:sz w:val="26"/>
          <w:szCs w:val="26"/>
        </w:rPr>
      </w:r>
      <w:r>
        <w:rPr>
          <w:rFonts w:ascii="Tinos" w:hAnsi="Tinos" w:eastAsia="Tinos" w:cs="Tinos"/>
          <w:color w:val="000000" w:themeColor="text1"/>
          <w:sz w:val="26"/>
          <w:szCs w:val="26"/>
        </w:rPr>
        <w:t xml:space="preserve">Кроме того, для собственников зданий и сооружений (помещений, машино-мест в этих зданиях) предусматривается обязательное оформление права собственности или аренды земельн</w:t>
      </w:r>
      <w:r>
        <w:rPr>
          <w:rFonts w:ascii="Tinos" w:hAnsi="Tinos" w:eastAsia="Tinos" w:cs="Tinos"/>
          <w:color w:val="000000" w:themeColor="text1"/>
          <w:sz w:val="26"/>
          <w:szCs w:val="26"/>
        </w:rPr>
        <w:t xml:space="preserve">ых участков, на которых эти здания и сооружения расположены. Речь идёт об участках, находящихся в государственной или муниципальной собственности.</w:t>
      </w:r>
      <w:r>
        <w:rPr>
          <w:rFonts w:ascii="Tinos" w:hAnsi="Tinos" w:eastAsia="Tinos" w:cs="Tinos"/>
          <w:color w:val="000000" w:themeColor="text1"/>
          <w:sz w:val="26"/>
          <w:szCs w:val="26"/>
          <w:highlight w:val="none"/>
        </w:rPr>
      </w:r>
    </w:p>
    <w:p>
      <w:pPr>
        <w:contextualSpacing w:val="0"/>
        <w:ind w:left="0" w:right="0" w:firstLine="0"/>
        <w:jc w:val="both"/>
        <w:spacing w:before="0" w:after="0" w:line="283" w:lineRule="atLeast"/>
        <w:rPr>
          <w:rFonts w:ascii="Tinos" w:hAnsi="Tinos" w:eastAsia="Tinos" w:cs="Tinos"/>
          <w:color w:val="000000" w:themeColor="text1"/>
          <w:sz w:val="26"/>
          <w:szCs w:val="26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rFonts w:ascii="Tinos" w:hAnsi="Tinos" w:eastAsia="Tinos" w:cs="Tinos"/>
          <w:color w:val="000000" w:themeColor="text1"/>
          <w:sz w:val="26"/>
          <w:szCs w:val="26"/>
          <w:highlight w:val="none"/>
        </w:rPr>
      </w:r>
      <w:r>
        <w:rPr>
          <w:rFonts w:ascii="Tinos" w:hAnsi="Tinos" w:eastAsia="Tinos" w:cs="Tinos"/>
          <w:color w:val="000000" w:themeColor="text1"/>
          <w:sz w:val="26"/>
          <w:szCs w:val="26"/>
          <w:highlight w:val="none"/>
        </w:rPr>
      </w:r>
    </w:p>
    <w:p>
      <w:pPr>
        <w:contextualSpacing w:val="0"/>
        <w:ind w:left="0" w:right="0" w:firstLine="0"/>
        <w:jc w:val="both"/>
        <w:spacing w:before="0" w:after="0" w:line="283" w:lineRule="atLeast"/>
        <w:rPr>
          <w:rFonts w:ascii="Tinos" w:hAnsi="Tinos" w:eastAsia="Tinos" w:cs="Tinos"/>
          <w:color w:val="000000" w:themeColor="text1"/>
          <w:sz w:val="26"/>
          <w:szCs w:val="26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rFonts w:ascii="Tinos" w:hAnsi="Tinos" w:eastAsia="Tinos" w:cs="Tinos"/>
          <w:color w:val="000000" w:themeColor="text1"/>
          <w:sz w:val="26"/>
          <w:szCs w:val="26"/>
        </w:rPr>
      </w:r>
      <w:r>
        <w:rPr>
          <w:rFonts w:ascii="Tinos" w:hAnsi="Tinos" w:eastAsia="Tinos" w:cs="Tinos"/>
          <w:i/>
          <w:color w:val="000000" w:themeColor="text1"/>
          <w:sz w:val="26"/>
          <w:szCs w:val="26"/>
        </w:rPr>
        <w:t xml:space="preserve">«Ещё одно нововведение, которое касается юридических лиц, призвано оптимизировать и упростить их взаимодействие с Росреестром. В частности, теперь подавать заявления о государственном кадастровом учёте и регистрации прав они смогут только в электронной ф</w:t>
      </w:r>
      <w:r>
        <w:rPr>
          <w:rFonts w:ascii="Tinos" w:hAnsi="Tinos" w:eastAsia="Tinos" w:cs="Tinos"/>
          <w:i/>
          <w:color w:val="000000" w:themeColor="text1"/>
          <w:sz w:val="26"/>
          <w:szCs w:val="26"/>
        </w:rPr>
        <w:t xml:space="preserve">орме. Это избавит от необходимости оформления документов на бумажном носителе и ускорит процесс получения государственных услуг в сфере недвижимости. Данная мера – часть большой работы по сокращению инвестиционно-строительного цикла</w:t>
      </w:r>
      <w:r>
        <w:rPr>
          <w:rFonts w:ascii="Tinos" w:hAnsi="Tinos" w:eastAsia="Tinos" w:cs="Tinos"/>
          <w:i/>
          <w:color w:val="000000" w:themeColor="text1"/>
          <w:sz w:val="26"/>
          <w:szCs w:val="26"/>
        </w:rPr>
        <w:t xml:space="preserve">»</w:t>
      </w:r>
      <w:r>
        <w:rPr>
          <w:rFonts w:ascii="Tinos" w:hAnsi="Tinos" w:eastAsia="Tinos" w:cs="Tinos"/>
          <w:color w:val="000000" w:themeColor="text1"/>
          <w:sz w:val="26"/>
          <w:szCs w:val="26"/>
        </w:rPr>
        <w:t xml:space="preserve">, – добавила Ольга Анисимова.</w:t>
      </w:r>
      <w:r>
        <w:rPr>
          <w:rFonts w:ascii="Tinos" w:hAnsi="Tinos" w:eastAsia="Tinos" w:cs="Tinos"/>
          <w:color w:val="000000" w:themeColor="text1"/>
          <w:sz w:val="26"/>
          <w:szCs w:val="26"/>
        </w:rPr>
        <w:br/>
        <w:br/>
        <w:t xml:space="preserve">Также в законе предусмотрено правило, согласно которому для проведения сделки в отношении земельного участка или расположенных на нем здания, сооружения или объекта незавершенного строительства его границы должны содержаться в Едином государственном рее</w:t>
      </w:r>
      <w:r>
        <w:rPr>
          <w:rFonts w:ascii="Tinos" w:hAnsi="Tinos" w:eastAsia="Tinos" w:cs="Tinos"/>
          <w:color w:val="000000" w:themeColor="text1"/>
          <w:sz w:val="26"/>
          <w:szCs w:val="26"/>
        </w:rPr>
        <w:t xml:space="preserve">стре недвижимости.</w:t>
      </w:r>
      <w:r>
        <w:rPr>
          <w:rFonts w:ascii="Tinos" w:hAnsi="Tinos" w:eastAsia="Tinos" w:cs="Tinos"/>
          <w:color w:val="000000" w:themeColor="text1"/>
          <w:sz w:val="26"/>
          <w:szCs w:val="26"/>
          <w:highlight w:val="none"/>
        </w:rPr>
      </w:r>
    </w:p>
    <w:p>
      <w:pPr>
        <w:contextualSpacing w:val="0"/>
        <w:ind w:left="0" w:right="0" w:firstLine="0"/>
        <w:jc w:val="both"/>
        <w:spacing w:before="0" w:after="0" w:line="283" w:lineRule="atLeast"/>
        <w:rPr>
          <w:rFonts w:ascii="Tinos" w:hAnsi="Tinos" w:eastAsia="Tinos" w:cs="Tinos"/>
          <w:color w:val="000000" w:themeColor="text1"/>
          <w:sz w:val="26"/>
          <w:szCs w:val="26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rFonts w:ascii="Tinos" w:hAnsi="Tinos" w:eastAsia="Tinos" w:cs="Tinos"/>
          <w:color w:val="000000" w:themeColor="text1"/>
          <w:sz w:val="26"/>
          <w:szCs w:val="26"/>
          <w:highlight w:val="none"/>
        </w:rPr>
      </w:r>
      <w:r>
        <w:rPr>
          <w:rFonts w:ascii="Tinos" w:hAnsi="Tinos" w:eastAsia="Tinos" w:cs="Tinos"/>
          <w:color w:val="000000" w:themeColor="text1"/>
          <w:sz w:val="26"/>
          <w:szCs w:val="26"/>
          <w:highlight w:val="none"/>
        </w:rPr>
      </w:r>
    </w:p>
    <w:p>
      <w:pPr>
        <w:contextualSpacing w:val="0"/>
        <w:ind w:left="0" w:right="0" w:firstLine="0"/>
        <w:jc w:val="both"/>
        <w:spacing w:before="0" w:after="0" w:line="283" w:lineRule="atLeast"/>
        <w:rPr>
          <w:rFonts w:ascii="Tinos" w:hAnsi="Tinos" w:eastAsia="Tinos" w:cs="Tinos"/>
          <w:color w:val="000000" w:themeColor="text1"/>
          <w:sz w:val="26"/>
          <w:szCs w:val="26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rFonts w:ascii="Tinos" w:hAnsi="Tinos" w:eastAsia="Tinos" w:cs="Tinos"/>
          <w:color w:val="000000" w:themeColor="text1"/>
          <w:sz w:val="26"/>
          <w:szCs w:val="26"/>
        </w:rPr>
        <w:t xml:space="preserve">Отсутствие у земельного участка точных границ зачастую приводит к большим проблемам при его использовании. Так, к примеру, человек может купить земельный участок, а потом при установлении границ может выяснится, что имеется давний спор </w:t>
      </w:r>
      <w:r>
        <w:rPr>
          <w:rFonts w:ascii="Tinos" w:hAnsi="Tinos" w:eastAsia="Tinos" w:cs="Tinos"/>
          <w:color w:val="000000" w:themeColor="text1"/>
          <w:sz w:val="26"/>
          <w:szCs w:val="26"/>
        </w:rPr>
        <w:t xml:space="preserve">с соседом по общей границе. Таким образом, закон защитит новых правообладателей земельных участков от возможных проблем с определением фактического местоположения их границ.</w:t>
      </w:r>
      <w:r>
        <w:rPr>
          <w:rFonts w:ascii="Tinos" w:hAnsi="Tinos" w:eastAsia="Tinos" w:cs="Tinos"/>
          <w:color w:val="000000" w:themeColor="text1"/>
          <w:sz w:val="26"/>
          <w:szCs w:val="26"/>
          <w:highlight w:val="none"/>
        </w:rPr>
      </w:r>
    </w:p>
    <w:p>
      <w:pPr>
        <w:contextualSpacing w:val="0"/>
        <w:ind w:left="0" w:right="0" w:firstLine="0"/>
        <w:jc w:val="both"/>
        <w:spacing w:before="0" w:after="0" w:line="283" w:lineRule="atLeast"/>
        <w:rPr>
          <w:rFonts w:ascii="Tinos" w:hAnsi="Tinos" w:eastAsia="Tinos" w:cs="Tinos"/>
          <w:color w:val="000000" w:themeColor="text1"/>
          <w:sz w:val="26"/>
          <w:szCs w:val="26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rFonts w:ascii="Tinos" w:hAnsi="Tinos" w:eastAsia="Tinos" w:cs="Tinos"/>
          <w:color w:val="000000" w:themeColor="text1"/>
          <w:sz w:val="26"/>
          <w:szCs w:val="26"/>
          <w:highlight w:val="none"/>
        </w:rPr>
      </w:r>
      <w:r>
        <w:rPr>
          <w:rFonts w:ascii="Tinos" w:hAnsi="Tinos" w:eastAsia="Tinos" w:cs="Tinos"/>
          <w:color w:val="000000" w:themeColor="text1"/>
          <w:sz w:val="26"/>
          <w:szCs w:val="26"/>
          <w:highlight w:val="none"/>
        </w:rPr>
      </w:r>
    </w:p>
    <w:p>
      <w:pPr>
        <w:contextualSpacing w:val="0"/>
        <w:ind w:left="0" w:right="0" w:firstLine="0"/>
        <w:jc w:val="both"/>
        <w:spacing w:before="0" w:after="0" w:line="283" w:lineRule="atLeast"/>
        <w:rPr>
          <w:rFonts w:ascii="Tinos" w:hAnsi="Tinos" w:eastAsia="Tinos" w:cs="Tinos"/>
          <w:color w:val="000000" w:themeColor="text1"/>
          <w:sz w:val="26"/>
          <w:szCs w:val="26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rFonts w:ascii="Tinos" w:hAnsi="Tinos" w:eastAsia="Tinos" w:cs="Tinos"/>
          <w:color w:val="000000" w:themeColor="text1"/>
          <w:sz w:val="26"/>
          <w:szCs w:val="26"/>
        </w:rPr>
        <w:t xml:space="preserve">Федеральный закон вступает в силу с 1 марта 2025 года.</w:t>
      </w:r>
      <w:r/>
      <w:r/>
    </w:p>
    <w:p>
      <w:pPr>
        <w:contextualSpacing w:val="0"/>
        <w:jc w:val="both"/>
        <w:spacing w:after="0" w:line="283" w:lineRule="atLeast"/>
        <w:rPr>
          <w:rFonts w:ascii="Tinos" w:hAnsi="Tinos" w:cs="Tinos"/>
          <w:color w:val="000000" w:themeColor="text1"/>
          <w:sz w:val="26"/>
          <w:szCs w:val="26"/>
          <w:highlight w:val="none"/>
        </w:rPr>
        <w:suppressLineNumbers w:val="0"/>
      </w:pPr>
      <w:r>
        <w:rPr>
          <w:rFonts w:ascii="Tinos" w:hAnsi="Tinos" w:eastAsia="Tinos" w:cs="Tinos"/>
          <w:color w:val="000000" w:themeColor="text1"/>
          <w:sz w:val="26"/>
          <w:szCs w:val="26"/>
        </w:rPr>
        <w:br/>
      </w:r>
      <w:r>
        <w:rPr>
          <w:rFonts w:ascii="Tinos" w:hAnsi="Tinos" w:eastAsia="Tinos" w:cs="Tinos"/>
          <w:color w:val="000000" w:themeColor="text1"/>
          <w:sz w:val="26"/>
          <w:szCs w:val="26"/>
          <w:highlight w:val="none"/>
        </w:rPr>
      </w:r>
      <w:r>
        <w:rPr>
          <w:rFonts w:ascii="Tinos" w:hAnsi="Tinos" w:cs="Tinos"/>
          <w:color w:val="000000" w:themeColor="text1"/>
          <w:sz w:val="26"/>
          <w:szCs w:val="26"/>
          <w:highlight w:val="none"/>
        </w:rPr>
      </w:r>
    </w:p>
    <w:p>
      <w:pPr>
        <w:contextualSpacing w:val="0"/>
        <w:jc w:val="both"/>
        <w:spacing w:after="0" w:line="283" w:lineRule="atLeast"/>
        <w:rPr>
          <w:rFonts w:ascii="Tinos" w:hAnsi="Tinos" w:cs="Tinos"/>
          <w:color w:val="000000" w:themeColor="text1"/>
          <w:sz w:val="26"/>
          <w:szCs w:val="26"/>
          <w:highlight w:val="none"/>
        </w:rPr>
        <w:suppressLineNumbers w:val="0"/>
      </w:pPr>
      <w:r>
        <w:rPr>
          <w:rFonts w:ascii="Tinos" w:hAnsi="Tinos" w:eastAsia="Tinos" w:cs="Tinos"/>
          <w:color w:val="000000" w:themeColor="text1"/>
          <w:sz w:val="26"/>
          <w:szCs w:val="26"/>
          <w:highlight w:val="none"/>
          <w:lang w:eastAsia="sk-SK"/>
        </w:rPr>
      </w:r>
      <w:r>
        <w:rPr>
          <w:rFonts w:ascii="Tinos" w:hAnsi="Tinos" w:eastAsia="Tinos" w:cs="Tinos"/>
          <w:color w:val="000000" w:themeColor="text1"/>
          <w:sz w:val="26"/>
          <w:szCs w:val="26"/>
          <w:highlight w:val="none"/>
        </w:rPr>
      </w:r>
      <w:r>
        <w:rPr>
          <w:rFonts w:ascii="Tinos" w:hAnsi="Tinos" w:cs="Tinos"/>
          <w:color w:val="000000" w:themeColor="text1"/>
          <w:sz w:val="26"/>
          <w:szCs w:val="26"/>
          <w:highlight w:val="none"/>
        </w:rPr>
      </w:r>
    </w:p>
    <w:p>
      <w:pPr>
        <w:pStyle w:val="844"/>
        <w:contextualSpacing w:val="0"/>
        <w:jc w:val="both"/>
        <w:spacing w:after="0" w:line="283" w:lineRule="atLeast"/>
        <w:rPr>
          <w:rFonts w:ascii="Tinos" w:hAnsi="Tinos" w:cs="Tinos"/>
          <w:color w:val="000000" w:themeColor="text1"/>
          <w:sz w:val="16"/>
          <w:szCs w:val="16"/>
          <w:highlight w:val="none"/>
        </w:rPr>
        <w:suppressLineNumbers w:val="0"/>
      </w:pPr>
      <w:r>
        <w:rPr>
          <w:rFonts w:ascii="Tinos" w:hAnsi="Tinos" w:eastAsia="Tinos" w:cs="Tinos"/>
          <w:color w:val="000000" w:themeColor="text1"/>
          <w:sz w:val="16"/>
          <w:szCs w:val="16"/>
          <w:highlight w:val="none"/>
          <w:lang w:eastAsia="sk-SK"/>
        </w:rPr>
      </w:r>
      <w:r>
        <w:rPr>
          <w:rFonts w:ascii="Tinos" w:hAnsi="Tinos" w:eastAsia="Tinos" w:cs="Tinos"/>
          <w:color w:val="000000" w:themeColor="text1"/>
          <w:sz w:val="16"/>
          <w:szCs w:val="16"/>
          <w:lang w:eastAsia="sk-SK"/>
        </w:rPr>
        <w:t xml:space="preserve">Контакты для СМИ</w:t>
      </w:r>
      <w:r>
        <w:rPr>
          <w:rFonts w:ascii="Tinos" w:hAnsi="Tinos" w:eastAsia="Tinos" w:cs="Tinos"/>
          <w:color w:val="000000" w:themeColor="text1"/>
          <w:sz w:val="16"/>
          <w:szCs w:val="16"/>
          <w:highlight w:val="none"/>
        </w:rPr>
      </w:r>
      <w:r>
        <w:rPr>
          <w:rFonts w:ascii="Tinos" w:hAnsi="Tinos" w:cs="Tinos"/>
          <w:color w:val="000000" w:themeColor="text1"/>
          <w:sz w:val="16"/>
          <w:szCs w:val="16"/>
          <w:highlight w:val="none"/>
        </w:rPr>
      </w:r>
    </w:p>
    <w:p>
      <w:pPr>
        <w:pStyle w:val="844"/>
        <w:contextualSpacing w:val="0"/>
        <w:jc w:val="both"/>
        <w:spacing w:after="0" w:line="283" w:lineRule="atLeast"/>
        <w:rPr>
          <w:rFonts w:ascii="Tinos" w:hAnsi="Tinos" w:cs="Tinos"/>
          <w:color w:val="000000" w:themeColor="text1"/>
          <w:sz w:val="16"/>
          <w:szCs w:val="16"/>
          <w:shd w:val="clear" w:color="auto" w:fill="ffffff"/>
        </w:rPr>
        <w:suppressLineNumbers w:val="0"/>
      </w:pPr>
      <w:r>
        <w:rPr>
          <w:rFonts w:ascii="Tinos" w:hAnsi="Tinos" w:eastAsia="Tinos" w:cs="Tinos"/>
          <w:color w:val="000000" w:themeColor="text1"/>
          <w:sz w:val="16"/>
          <w:szCs w:val="16"/>
        </w:rPr>
        <w:t xml:space="preserve">Пресс-служба Росреестра </w:t>
      </w:r>
      <w:r>
        <w:rPr>
          <w:rFonts w:ascii="Tinos" w:hAnsi="Tinos" w:eastAsia="Tinos" w:cs="Tinos"/>
          <w:color w:val="000000" w:themeColor="text1"/>
          <w:sz w:val="16"/>
          <w:szCs w:val="16"/>
        </w:rPr>
        <w:t xml:space="preserve">и Роскадастра </w:t>
      </w:r>
      <w:r>
        <w:rPr>
          <w:rFonts w:ascii="Tinos" w:hAnsi="Tinos" w:eastAsia="Tinos" w:cs="Tinos"/>
          <w:color w:val="000000" w:themeColor="text1"/>
          <w:sz w:val="16"/>
          <w:szCs w:val="16"/>
        </w:rPr>
        <w:t xml:space="preserve">РХ</w:t>
      </w:r>
      <w:r>
        <w:rPr>
          <w:rFonts w:ascii="Tinos" w:hAnsi="Tinos" w:eastAsia="Tinos" w:cs="Tinos"/>
          <w:color w:val="000000" w:themeColor="text1"/>
          <w:sz w:val="16"/>
          <w:szCs w:val="16"/>
          <w:shd w:val="clear" w:color="auto" w:fill="ffffff"/>
        </w:rPr>
      </w:r>
      <w:r>
        <w:rPr>
          <w:rFonts w:ascii="Tinos" w:hAnsi="Tinos" w:cs="Tinos"/>
          <w:color w:val="000000" w:themeColor="text1"/>
          <w:sz w:val="16"/>
          <w:szCs w:val="16"/>
          <w:shd w:val="clear" w:color="auto" w:fill="ffffff"/>
        </w:rPr>
      </w:r>
    </w:p>
    <w:p>
      <w:pPr>
        <w:pStyle w:val="844"/>
        <w:contextualSpacing w:val="0"/>
        <w:jc w:val="both"/>
        <w:spacing w:after="0" w:line="283" w:lineRule="atLeast"/>
        <w:rPr>
          <w:rFonts w:ascii="Tinos" w:hAnsi="Tinos" w:cs="Tinos"/>
          <w:color w:val="000000" w:themeColor="text1"/>
          <w:sz w:val="16"/>
          <w:szCs w:val="16"/>
        </w:rPr>
        <w:suppressLineNumbers w:val="0"/>
      </w:pPr>
      <w:r>
        <w:rPr>
          <w:rFonts w:ascii="Tinos" w:hAnsi="Tinos" w:eastAsia="Tinos" w:cs="Tinos"/>
          <w:color w:val="000000" w:themeColor="text1"/>
          <w:sz w:val="16"/>
          <w:szCs w:val="16"/>
        </w:rPr>
        <w:t xml:space="preserve">Тел. 23-99-88, 8(983)273-750</w:t>
      </w:r>
      <w:r>
        <w:rPr>
          <w:rFonts w:ascii="Tinos" w:hAnsi="Tinos" w:eastAsia="Tinos" w:cs="Tinos"/>
          <w:color w:val="000000" w:themeColor="text1"/>
          <w:sz w:val="16"/>
          <w:szCs w:val="16"/>
        </w:rPr>
      </w:r>
      <w:r>
        <w:rPr>
          <w:rFonts w:ascii="Tinos" w:hAnsi="Tinos" w:cs="Tinos"/>
          <w:color w:val="000000" w:themeColor="text1"/>
          <w:sz w:val="16"/>
          <w:szCs w:val="16"/>
        </w:rPr>
      </w:r>
    </w:p>
    <w:sectPr>
      <w:footnotePr/>
      <w:endnotePr/>
      <w:type w:val="nextPage"/>
      <w:pgSz w:w="11906" w:h="16838" w:orient="portrait"/>
      <w:pgMar w:top="709" w:right="850" w:bottom="568" w:left="1701" w:header="708" w:footer="708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nos">
    <w:panose1 w:val="02020603050405020304"/>
  </w:font>
  <w:font w:name="Wingdings">
    <w:panose1 w:val="05010000000000000000"/>
  </w:font>
  <w:font w:name="Courier New">
    <w:panose1 w:val="02070409020205020404"/>
  </w:font>
  <w:font w:name="Symbol">
    <w:panose1 w:val="05010000000000000000"/>
  </w:font>
  <w:font w:name="Segoe UI">
    <w:panose1 w:val="020B0502040504020204"/>
  </w:font>
  <w:font w:name="Calibri Light">
    <w:panose1 w:val="020F0502020204030204"/>
  </w:font>
  <w:font w:name="Arial">
    <w:panose1 w:val="020B0604020202020204"/>
  </w:font>
  <w:font w:name="Times New Roman">
    <w:panose1 w:val="020206030504050203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bullet"/>
      <w:pStyle w:val="858"/>
      <w:isLgl w:val="false"/>
      <w:suff w:val="tab"/>
      <w:lvlText w:val=""/>
      <w:lvlJc w:val="left"/>
      <w:pPr>
        <w:ind w:left="360" w:hanging="360"/>
        <w:tabs>
          <w:tab w:val="num" w:pos="360" w:leader="none"/>
        </w:tabs>
      </w:pPr>
      <w:rPr>
        <w:rFonts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1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  <w:tabs>
          <w:tab w:val="num" w:pos="720" w:leader="none"/>
        </w:tabs>
      </w:pPr>
      <w:rPr>
        <w:rFonts w:ascii="Symbol" w:hAnsi="Symbol"/>
        <w:sz w:val="20"/>
      </w:rPr>
    </w:lvl>
    <w:lvl w:ilvl="1">
      <w:start w:val="1"/>
      <w:numFmt w:val="bullet"/>
      <w:isLgl w:val="false"/>
      <w:suff w:val="tab"/>
      <w:lvlText w:val=""/>
      <w:lvlJc w:val="left"/>
      <w:pPr>
        <w:ind w:left="1440" w:hanging="360"/>
        <w:tabs>
          <w:tab w:val="num" w:pos="1440" w:leader="none"/>
        </w:tabs>
      </w:pPr>
      <w:rPr>
        <w:rFonts w:ascii="Symbol" w:hAnsi="Symbol"/>
        <w:sz w:val="20"/>
      </w:rPr>
    </w:lvl>
    <w:lvl w:ilvl="2">
      <w:start w:val="1"/>
      <w:numFmt w:val="bullet"/>
      <w:isLgl w:val="false"/>
      <w:suff w:val="tab"/>
      <w:lvlText w:val=""/>
      <w:lvlJc w:val="left"/>
      <w:pPr>
        <w:ind w:left="2160" w:hanging="360"/>
        <w:tabs>
          <w:tab w:val="num" w:pos="2160" w:leader="none"/>
        </w:tabs>
      </w:pPr>
      <w:rPr>
        <w:rFonts w:ascii="Symbol" w:hAnsi="Symbol"/>
        <w:sz w:val="20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  <w:tabs>
          <w:tab w:val="num" w:pos="2880" w:leader="none"/>
        </w:tabs>
      </w:pPr>
      <w:rPr>
        <w:rFonts w:ascii="Symbol" w:hAnsi="Symbol"/>
        <w:sz w:val="20"/>
      </w:rPr>
    </w:lvl>
    <w:lvl w:ilvl="4">
      <w:start w:val="1"/>
      <w:numFmt w:val="bullet"/>
      <w:isLgl w:val="false"/>
      <w:suff w:val="tab"/>
      <w:lvlText w:val=""/>
      <w:lvlJc w:val="left"/>
      <w:pPr>
        <w:ind w:left="3600" w:hanging="360"/>
        <w:tabs>
          <w:tab w:val="num" w:pos="3600" w:leader="none"/>
        </w:tabs>
      </w:pPr>
      <w:rPr>
        <w:rFonts w:ascii="Symbol" w:hAnsi="Symbol"/>
        <w:sz w:val="20"/>
      </w:rPr>
    </w:lvl>
    <w:lvl w:ilvl="5">
      <w:start w:val="1"/>
      <w:numFmt w:val="bullet"/>
      <w:isLgl w:val="false"/>
      <w:suff w:val="tab"/>
      <w:lvlText w:val=""/>
      <w:lvlJc w:val="left"/>
      <w:pPr>
        <w:ind w:left="4320" w:hanging="360"/>
        <w:tabs>
          <w:tab w:val="num" w:pos="4320" w:leader="none"/>
        </w:tabs>
      </w:pPr>
      <w:rPr>
        <w:rFonts w:ascii="Symbol" w:hAnsi="Symbol"/>
        <w:sz w:val="20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  <w:tabs>
          <w:tab w:val="num" w:pos="5040" w:leader="none"/>
        </w:tabs>
      </w:pPr>
      <w:rPr>
        <w:rFonts w:ascii="Symbol" w:hAnsi="Symbol"/>
        <w:sz w:val="20"/>
      </w:rPr>
    </w:lvl>
    <w:lvl w:ilvl="7">
      <w:start w:val="1"/>
      <w:numFmt w:val="bullet"/>
      <w:isLgl w:val="false"/>
      <w:suff w:val="tab"/>
      <w:lvlText w:val=""/>
      <w:lvlJc w:val="left"/>
      <w:pPr>
        <w:ind w:left="5760" w:hanging="360"/>
        <w:tabs>
          <w:tab w:val="num" w:pos="5760" w:leader="none"/>
        </w:tabs>
      </w:pPr>
      <w:rPr>
        <w:rFonts w:ascii="Symbol" w:hAnsi="Symbol"/>
        <w:sz w:val="20"/>
      </w:rPr>
    </w:lvl>
    <w:lvl w:ilvl="8">
      <w:start w:val="1"/>
      <w:numFmt w:val="bullet"/>
      <w:isLgl w:val="false"/>
      <w:suff w:val="tab"/>
      <w:lvlText w:val=""/>
      <w:lvlJc w:val="left"/>
      <w:pPr>
        <w:ind w:left="6480" w:hanging="360"/>
        <w:tabs>
          <w:tab w:val="num" w:pos="6480" w:leader="none"/>
        </w:tabs>
      </w:pPr>
      <w:rPr>
        <w:rFonts w:ascii="Symbol" w:hAnsi="Symbol"/>
        <w:sz w:val="20"/>
      </w:rPr>
    </w:lvl>
  </w:abstractNum>
  <w:abstractNum w:abstractNumId="2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  <w:tabs>
          <w:tab w:val="num" w:pos="720" w:leader="none"/>
        </w:tabs>
      </w:pPr>
      <w:rPr>
        <w:rFonts w:ascii="Symbol" w:hAnsi="Symbol"/>
        <w:sz w:val="20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ascii="Courier New" w:hAnsi="Courier New"/>
        <w:sz w:val="20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ascii="Wingdings" w:hAnsi="Wingdings"/>
        <w:sz w:val="20"/>
      </w:rPr>
    </w:lvl>
    <w:lvl w:ilvl="3">
      <w:start w:val="1"/>
      <w:numFmt w:val="bullet"/>
      <w:isLgl w:val="false"/>
      <w:suff w:val="tab"/>
      <w:lvlText w:val=""/>
      <w:lvlJc w:val="left"/>
      <w:pPr>
        <w:ind w:left="2880" w:hanging="360"/>
        <w:tabs>
          <w:tab w:val="num" w:pos="2880" w:leader="none"/>
        </w:tabs>
      </w:pPr>
      <w:rPr>
        <w:rFonts w:ascii="Wingdings" w:hAnsi="Wingdings"/>
        <w:sz w:val="20"/>
      </w:rPr>
    </w:lvl>
    <w:lvl w:ilvl="4">
      <w:start w:val="1"/>
      <w:numFmt w:val="bullet"/>
      <w:isLgl w:val="false"/>
      <w:suff w:val="tab"/>
      <w:lvlText w:val=""/>
      <w:lvlJc w:val="left"/>
      <w:pPr>
        <w:ind w:left="3600" w:hanging="360"/>
        <w:tabs>
          <w:tab w:val="num" w:pos="3600" w:leader="none"/>
        </w:tabs>
      </w:pPr>
      <w:rPr>
        <w:rFonts w:ascii="Wingdings" w:hAnsi="Wingdings"/>
        <w:sz w:val="20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ascii="Wingdings" w:hAnsi="Wingdings"/>
        <w:sz w:val="20"/>
      </w:rPr>
    </w:lvl>
    <w:lvl w:ilvl="6">
      <w:start w:val="1"/>
      <w:numFmt w:val="bullet"/>
      <w:isLgl w:val="false"/>
      <w:suff w:val="tab"/>
      <w:lvlText w:val=""/>
      <w:lvlJc w:val="left"/>
      <w:pPr>
        <w:ind w:left="5040" w:hanging="360"/>
        <w:tabs>
          <w:tab w:val="num" w:pos="5040" w:leader="none"/>
        </w:tabs>
      </w:pPr>
      <w:rPr>
        <w:rFonts w:ascii="Wingdings" w:hAnsi="Wingdings"/>
        <w:sz w:val="20"/>
      </w:rPr>
    </w:lvl>
    <w:lvl w:ilvl="7">
      <w:start w:val="1"/>
      <w:numFmt w:val="bullet"/>
      <w:isLgl w:val="false"/>
      <w:suff w:val="tab"/>
      <w:lvlText w:val=""/>
      <w:lvlJc w:val="left"/>
      <w:pPr>
        <w:ind w:left="5760" w:hanging="360"/>
        <w:tabs>
          <w:tab w:val="num" w:pos="5760" w:leader="none"/>
        </w:tabs>
      </w:pPr>
      <w:rPr>
        <w:rFonts w:ascii="Wingdings" w:hAnsi="Wingdings"/>
        <w:sz w:val="20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ascii="Wingdings" w:hAnsi="Wingdings"/>
        <w:sz w:val="20"/>
      </w:rPr>
    </w:lvl>
  </w:abstractNum>
  <w:abstractNum w:abstractNumId="3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  <w:tabs>
          <w:tab w:val="num" w:pos="720" w:leader="none"/>
        </w:tabs>
      </w:pPr>
      <w:rPr>
        <w:rFonts w:ascii="Symbol" w:hAnsi="Symbol"/>
        <w:sz w:val="20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ascii="Courier New" w:hAnsi="Courier New"/>
        <w:sz w:val="20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ascii="Wingdings" w:hAnsi="Wingdings"/>
        <w:sz w:val="20"/>
      </w:rPr>
    </w:lvl>
    <w:lvl w:ilvl="3">
      <w:start w:val="1"/>
      <w:numFmt w:val="bullet"/>
      <w:isLgl w:val="false"/>
      <w:suff w:val="tab"/>
      <w:lvlText w:val=""/>
      <w:lvlJc w:val="left"/>
      <w:pPr>
        <w:ind w:left="2880" w:hanging="360"/>
        <w:tabs>
          <w:tab w:val="num" w:pos="2880" w:leader="none"/>
        </w:tabs>
      </w:pPr>
      <w:rPr>
        <w:rFonts w:ascii="Wingdings" w:hAnsi="Wingdings"/>
        <w:sz w:val="20"/>
      </w:rPr>
    </w:lvl>
    <w:lvl w:ilvl="4">
      <w:start w:val="1"/>
      <w:numFmt w:val="bullet"/>
      <w:isLgl w:val="false"/>
      <w:suff w:val="tab"/>
      <w:lvlText w:val=""/>
      <w:lvlJc w:val="left"/>
      <w:pPr>
        <w:ind w:left="3600" w:hanging="360"/>
        <w:tabs>
          <w:tab w:val="num" w:pos="3600" w:leader="none"/>
        </w:tabs>
      </w:pPr>
      <w:rPr>
        <w:rFonts w:ascii="Wingdings" w:hAnsi="Wingdings"/>
        <w:sz w:val="20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ascii="Wingdings" w:hAnsi="Wingdings"/>
        <w:sz w:val="20"/>
      </w:rPr>
    </w:lvl>
    <w:lvl w:ilvl="6">
      <w:start w:val="1"/>
      <w:numFmt w:val="bullet"/>
      <w:isLgl w:val="false"/>
      <w:suff w:val="tab"/>
      <w:lvlText w:val=""/>
      <w:lvlJc w:val="left"/>
      <w:pPr>
        <w:ind w:left="5040" w:hanging="360"/>
        <w:tabs>
          <w:tab w:val="num" w:pos="5040" w:leader="none"/>
        </w:tabs>
      </w:pPr>
      <w:rPr>
        <w:rFonts w:ascii="Wingdings" w:hAnsi="Wingdings"/>
        <w:sz w:val="20"/>
      </w:rPr>
    </w:lvl>
    <w:lvl w:ilvl="7">
      <w:start w:val="1"/>
      <w:numFmt w:val="bullet"/>
      <w:isLgl w:val="false"/>
      <w:suff w:val="tab"/>
      <w:lvlText w:val=""/>
      <w:lvlJc w:val="left"/>
      <w:pPr>
        <w:ind w:left="5760" w:hanging="360"/>
        <w:tabs>
          <w:tab w:val="num" w:pos="5760" w:leader="none"/>
        </w:tabs>
      </w:pPr>
      <w:rPr>
        <w:rFonts w:ascii="Wingdings" w:hAnsi="Wingdings"/>
        <w:sz w:val="20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ascii="Wingdings" w:hAnsi="Wingdings"/>
        <w:sz w:val="20"/>
      </w:rPr>
    </w:lvl>
  </w:abstractNum>
  <w:abstractNum w:abstractNumId="4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  <w:tabs>
          <w:tab w:val="num" w:pos="720" w:leader="none"/>
        </w:tabs>
      </w:pPr>
      <w:rPr>
        <w:rFonts w:ascii="Symbol" w:hAnsi="Symbol"/>
        <w:sz w:val="20"/>
      </w:rPr>
    </w:lvl>
    <w:lvl w:ilvl="1">
      <w:start w:val="1"/>
      <w:numFmt w:val="bullet"/>
      <w:isLgl w:val="false"/>
      <w:suff w:val="tab"/>
      <w:lvlText w:val=""/>
      <w:lvlJc w:val="left"/>
      <w:pPr>
        <w:ind w:left="1440" w:hanging="360"/>
        <w:tabs>
          <w:tab w:val="num" w:pos="1440" w:leader="none"/>
        </w:tabs>
      </w:pPr>
      <w:rPr>
        <w:rFonts w:ascii="Symbol" w:hAnsi="Symbol"/>
        <w:sz w:val="20"/>
      </w:rPr>
    </w:lvl>
    <w:lvl w:ilvl="2">
      <w:start w:val="1"/>
      <w:numFmt w:val="bullet"/>
      <w:isLgl w:val="false"/>
      <w:suff w:val="tab"/>
      <w:lvlText w:val=""/>
      <w:lvlJc w:val="left"/>
      <w:pPr>
        <w:ind w:left="2160" w:hanging="360"/>
        <w:tabs>
          <w:tab w:val="num" w:pos="2160" w:leader="none"/>
        </w:tabs>
      </w:pPr>
      <w:rPr>
        <w:rFonts w:ascii="Symbol" w:hAnsi="Symbol"/>
        <w:sz w:val="20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  <w:tabs>
          <w:tab w:val="num" w:pos="2880" w:leader="none"/>
        </w:tabs>
      </w:pPr>
      <w:rPr>
        <w:rFonts w:ascii="Symbol" w:hAnsi="Symbol"/>
        <w:sz w:val="20"/>
      </w:rPr>
    </w:lvl>
    <w:lvl w:ilvl="4">
      <w:start w:val="1"/>
      <w:numFmt w:val="bullet"/>
      <w:isLgl w:val="false"/>
      <w:suff w:val="tab"/>
      <w:lvlText w:val=""/>
      <w:lvlJc w:val="left"/>
      <w:pPr>
        <w:ind w:left="3600" w:hanging="360"/>
        <w:tabs>
          <w:tab w:val="num" w:pos="3600" w:leader="none"/>
        </w:tabs>
      </w:pPr>
      <w:rPr>
        <w:rFonts w:ascii="Symbol" w:hAnsi="Symbol"/>
        <w:sz w:val="20"/>
      </w:rPr>
    </w:lvl>
    <w:lvl w:ilvl="5">
      <w:start w:val="1"/>
      <w:numFmt w:val="bullet"/>
      <w:isLgl w:val="false"/>
      <w:suff w:val="tab"/>
      <w:lvlText w:val=""/>
      <w:lvlJc w:val="left"/>
      <w:pPr>
        <w:ind w:left="4320" w:hanging="360"/>
        <w:tabs>
          <w:tab w:val="num" w:pos="4320" w:leader="none"/>
        </w:tabs>
      </w:pPr>
      <w:rPr>
        <w:rFonts w:ascii="Symbol" w:hAnsi="Symbol"/>
        <w:sz w:val="20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  <w:tabs>
          <w:tab w:val="num" w:pos="5040" w:leader="none"/>
        </w:tabs>
      </w:pPr>
      <w:rPr>
        <w:rFonts w:ascii="Symbol" w:hAnsi="Symbol"/>
        <w:sz w:val="20"/>
      </w:rPr>
    </w:lvl>
    <w:lvl w:ilvl="7">
      <w:start w:val="1"/>
      <w:numFmt w:val="bullet"/>
      <w:isLgl w:val="false"/>
      <w:suff w:val="tab"/>
      <w:lvlText w:val=""/>
      <w:lvlJc w:val="left"/>
      <w:pPr>
        <w:ind w:left="5760" w:hanging="360"/>
        <w:tabs>
          <w:tab w:val="num" w:pos="5760" w:leader="none"/>
        </w:tabs>
      </w:pPr>
      <w:rPr>
        <w:rFonts w:ascii="Symbol" w:hAnsi="Symbol"/>
        <w:sz w:val="20"/>
      </w:rPr>
    </w:lvl>
    <w:lvl w:ilvl="8">
      <w:start w:val="1"/>
      <w:numFmt w:val="bullet"/>
      <w:isLgl w:val="false"/>
      <w:suff w:val="tab"/>
      <w:lvlText w:val=""/>
      <w:lvlJc w:val="left"/>
      <w:pPr>
        <w:ind w:left="6480" w:hanging="360"/>
        <w:tabs>
          <w:tab w:val="num" w:pos="6480" w:leader="none"/>
        </w:tabs>
      </w:pPr>
      <w:rPr>
        <w:rFonts w:ascii="Symbol" w:hAnsi="Symbol"/>
        <w:sz w:val="20"/>
      </w:rPr>
    </w:lvl>
  </w:abstractNum>
  <w:abstractNum w:abstractNumId="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"/>
  </w:num>
  <w:num w:numId="3">
    <w:abstractNumId w:val="5"/>
  </w:num>
  <w:num w:numId="4">
    <w:abstractNumId w:val="0"/>
  </w:num>
  <w:num w:numId="5">
    <w:abstractNumId w:val="3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="Calibri" w:hAnsi="Calibri" w:eastAsia="Calibri" w:cs="Times New Roman"/>
        <w:lang w:val="ru-RU" w:eastAsia="zh-CN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66">
    <w:name w:val="Heading 1"/>
    <w:basedOn w:val="844"/>
    <w:next w:val="844"/>
    <w:link w:val="667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667">
    <w:name w:val="Heading 1 Char"/>
    <w:link w:val="666"/>
    <w:uiPriority w:val="9"/>
    <w:rPr>
      <w:rFonts w:ascii="Arial" w:hAnsi="Arial" w:eastAsia="Arial" w:cs="Arial"/>
      <w:sz w:val="40"/>
      <w:szCs w:val="40"/>
    </w:rPr>
  </w:style>
  <w:style w:type="paragraph" w:styleId="668">
    <w:name w:val="Heading 2"/>
    <w:basedOn w:val="844"/>
    <w:next w:val="844"/>
    <w:link w:val="669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669">
    <w:name w:val="Heading 2 Char"/>
    <w:link w:val="668"/>
    <w:uiPriority w:val="9"/>
    <w:rPr>
      <w:rFonts w:ascii="Arial" w:hAnsi="Arial" w:eastAsia="Arial" w:cs="Arial"/>
      <w:sz w:val="34"/>
    </w:rPr>
  </w:style>
  <w:style w:type="paragraph" w:styleId="670">
    <w:name w:val="Heading 3"/>
    <w:basedOn w:val="844"/>
    <w:next w:val="844"/>
    <w:link w:val="671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671">
    <w:name w:val="Heading 3 Char"/>
    <w:link w:val="670"/>
    <w:uiPriority w:val="9"/>
    <w:rPr>
      <w:rFonts w:ascii="Arial" w:hAnsi="Arial" w:eastAsia="Arial" w:cs="Arial"/>
      <w:sz w:val="30"/>
      <w:szCs w:val="30"/>
    </w:rPr>
  </w:style>
  <w:style w:type="paragraph" w:styleId="672">
    <w:name w:val="Heading 4"/>
    <w:basedOn w:val="844"/>
    <w:next w:val="844"/>
    <w:link w:val="673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673">
    <w:name w:val="Heading 4 Char"/>
    <w:link w:val="672"/>
    <w:uiPriority w:val="9"/>
    <w:rPr>
      <w:rFonts w:ascii="Arial" w:hAnsi="Arial" w:eastAsia="Arial" w:cs="Arial"/>
      <w:b/>
      <w:bCs/>
      <w:sz w:val="26"/>
      <w:szCs w:val="26"/>
    </w:rPr>
  </w:style>
  <w:style w:type="paragraph" w:styleId="674">
    <w:name w:val="Heading 5"/>
    <w:basedOn w:val="844"/>
    <w:next w:val="844"/>
    <w:link w:val="675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675">
    <w:name w:val="Heading 5 Char"/>
    <w:link w:val="674"/>
    <w:uiPriority w:val="9"/>
    <w:rPr>
      <w:rFonts w:ascii="Arial" w:hAnsi="Arial" w:eastAsia="Arial" w:cs="Arial"/>
      <w:b/>
      <w:bCs/>
      <w:sz w:val="24"/>
      <w:szCs w:val="24"/>
    </w:rPr>
  </w:style>
  <w:style w:type="paragraph" w:styleId="676">
    <w:name w:val="Heading 6"/>
    <w:basedOn w:val="844"/>
    <w:next w:val="844"/>
    <w:link w:val="677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677">
    <w:name w:val="Heading 6 Char"/>
    <w:link w:val="676"/>
    <w:uiPriority w:val="9"/>
    <w:rPr>
      <w:rFonts w:ascii="Arial" w:hAnsi="Arial" w:eastAsia="Arial" w:cs="Arial"/>
      <w:b/>
      <w:bCs/>
      <w:sz w:val="22"/>
      <w:szCs w:val="22"/>
    </w:rPr>
  </w:style>
  <w:style w:type="paragraph" w:styleId="678">
    <w:name w:val="Heading 7"/>
    <w:basedOn w:val="844"/>
    <w:next w:val="844"/>
    <w:link w:val="679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679">
    <w:name w:val="Heading 7 Char"/>
    <w:link w:val="678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680">
    <w:name w:val="Heading 8"/>
    <w:basedOn w:val="844"/>
    <w:next w:val="844"/>
    <w:link w:val="681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681">
    <w:name w:val="Heading 8 Char"/>
    <w:link w:val="680"/>
    <w:uiPriority w:val="9"/>
    <w:rPr>
      <w:rFonts w:ascii="Arial" w:hAnsi="Arial" w:eastAsia="Arial" w:cs="Arial"/>
      <w:i/>
      <w:iCs/>
      <w:sz w:val="22"/>
      <w:szCs w:val="22"/>
    </w:rPr>
  </w:style>
  <w:style w:type="paragraph" w:styleId="682">
    <w:name w:val="Heading 9"/>
    <w:basedOn w:val="844"/>
    <w:next w:val="844"/>
    <w:link w:val="683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83">
    <w:name w:val="Heading 9 Char"/>
    <w:link w:val="682"/>
    <w:uiPriority w:val="9"/>
    <w:rPr>
      <w:rFonts w:ascii="Arial" w:hAnsi="Arial" w:eastAsia="Arial" w:cs="Arial"/>
      <w:i/>
      <w:iCs/>
      <w:sz w:val="21"/>
      <w:szCs w:val="21"/>
    </w:rPr>
  </w:style>
  <w:style w:type="paragraph" w:styleId="684">
    <w:name w:val="List Paragraph"/>
    <w:basedOn w:val="844"/>
    <w:uiPriority w:val="34"/>
    <w:qFormat/>
    <w:pPr>
      <w:contextualSpacing/>
      <w:ind w:left="720"/>
    </w:pPr>
  </w:style>
  <w:style w:type="paragraph" w:styleId="685">
    <w:name w:val="No Spacing"/>
    <w:uiPriority w:val="1"/>
    <w:qFormat/>
    <w:pPr>
      <w:spacing w:before="0" w:after="0" w:line="240" w:lineRule="auto"/>
    </w:pPr>
  </w:style>
  <w:style w:type="paragraph" w:styleId="686">
    <w:name w:val="Title"/>
    <w:basedOn w:val="844"/>
    <w:next w:val="844"/>
    <w:link w:val="687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687">
    <w:name w:val="Title Char"/>
    <w:link w:val="686"/>
    <w:uiPriority w:val="10"/>
    <w:rPr>
      <w:sz w:val="48"/>
      <w:szCs w:val="48"/>
    </w:rPr>
  </w:style>
  <w:style w:type="paragraph" w:styleId="688">
    <w:name w:val="Subtitle"/>
    <w:basedOn w:val="844"/>
    <w:next w:val="844"/>
    <w:link w:val="689"/>
    <w:uiPriority w:val="11"/>
    <w:qFormat/>
    <w:pPr>
      <w:spacing w:before="200" w:after="200"/>
    </w:pPr>
    <w:rPr>
      <w:sz w:val="24"/>
      <w:szCs w:val="24"/>
    </w:rPr>
  </w:style>
  <w:style w:type="character" w:styleId="689">
    <w:name w:val="Subtitle Char"/>
    <w:link w:val="688"/>
    <w:uiPriority w:val="11"/>
    <w:rPr>
      <w:sz w:val="24"/>
      <w:szCs w:val="24"/>
    </w:rPr>
  </w:style>
  <w:style w:type="paragraph" w:styleId="690">
    <w:name w:val="Quote"/>
    <w:basedOn w:val="844"/>
    <w:next w:val="844"/>
    <w:link w:val="691"/>
    <w:uiPriority w:val="29"/>
    <w:qFormat/>
    <w:pPr>
      <w:ind w:left="720" w:right="720"/>
    </w:pPr>
    <w:rPr>
      <w:i/>
    </w:rPr>
  </w:style>
  <w:style w:type="character" w:styleId="691">
    <w:name w:val="Quote Char"/>
    <w:link w:val="690"/>
    <w:uiPriority w:val="29"/>
    <w:rPr>
      <w:i/>
    </w:rPr>
  </w:style>
  <w:style w:type="paragraph" w:styleId="692">
    <w:name w:val="Intense Quote"/>
    <w:basedOn w:val="844"/>
    <w:next w:val="844"/>
    <w:link w:val="693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693">
    <w:name w:val="Intense Quote Char"/>
    <w:link w:val="692"/>
    <w:uiPriority w:val="30"/>
    <w:rPr>
      <w:i/>
    </w:rPr>
  </w:style>
  <w:style w:type="paragraph" w:styleId="694">
    <w:name w:val="Header"/>
    <w:basedOn w:val="844"/>
    <w:link w:val="695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95">
    <w:name w:val="Header Char"/>
    <w:link w:val="694"/>
    <w:uiPriority w:val="99"/>
  </w:style>
  <w:style w:type="paragraph" w:styleId="696">
    <w:name w:val="Footer"/>
    <w:basedOn w:val="844"/>
    <w:link w:val="699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97">
    <w:name w:val="Footer Char"/>
    <w:link w:val="696"/>
    <w:uiPriority w:val="99"/>
  </w:style>
  <w:style w:type="paragraph" w:styleId="698">
    <w:name w:val="Caption"/>
    <w:basedOn w:val="844"/>
    <w:next w:val="844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699">
    <w:name w:val="Caption Char"/>
    <w:basedOn w:val="698"/>
    <w:link w:val="696"/>
    <w:uiPriority w:val="99"/>
  </w:style>
  <w:style w:type="table" w:styleId="700">
    <w:name w:val="Table Grid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01">
    <w:name w:val="Table Grid Light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02">
    <w:name w:val="Plain Table 1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03">
    <w:name w:val="Plain Table 2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04">
    <w:name w:val="Plain Table 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05">
    <w:name w:val="Plain Table 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6">
    <w:name w:val="Plain Table 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07">
    <w:name w:val="Grid Table 1 Light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8">
    <w:name w:val="Grid Table 1 Light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9">
    <w:name w:val="Grid Table 1 Light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0">
    <w:name w:val="Grid Table 1 Light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1">
    <w:name w:val="Grid Table 1 Light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2">
    <w:name w:val="Grid Table 1 Light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3">
    <w:name w:val="Grid Table 1 Light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4">
    <w:name w:val="Grid Table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5">
    <w:name w:val="Grid Table 2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6">
    <w:name w:val="Grid Table 2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7">
    <w:name w:val="Grid Table 2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8">
    <w:name w:val="Grid Table 2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9">
    <w:name w:val="Grid Table 2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0">
    <w:name w:val="Grid Table 2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1">
    <w:name w:val="Grid Table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2">
    <w:name w:val="Grid Table 3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3">
    <w:name w:val="Grid Table 3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4">
    <w:name w:val="Grid Table 3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5">
    <w:name w:val="Grid Table 3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6">
    <w:name w:val="Grid Table 3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7">
    <w:name w:val="Grid Table 3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8">
    <w:name w:val="Grid Table 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29">
    <w:name w:val="Grid Table 4 - Accent 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30">
    <w:name w:val="Grid Table 4 - Accent 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31">
    <w:name w:val="Grid Table 4 - Accent 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32">
    <w:name w:val="Grid Table 4 - Accent 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33">
    <w:name w:val="Grid Table 4 - Accent 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34">
    <w:name w:val="Grid Table 4 - Accent 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35">
    <w:name w:val="Grid Table 5 Dark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36">
    <w:name w:val="Grid Table 5 Dark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737">
    <w:name w:val="Grid Table 5 Dark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738">
    <w:name w:val="Grid Table 5 Dark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739">
    <w:name w:val="Grid Table 5 Dark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740">
    <w:name w:val="Grid Table 5 Dark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741">
    <w:name w:val="Grid Table 5 Dark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742">
    <w:name w:val="Grid Table 6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43">
    <w:name w:val="Grid Table 6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44">
    <w:name w:val="Grid Table 6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45">
    <w:name w:val="Grid Table 6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46">
    <w:name w:val="Grid Table 6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47">
    <w:name w:val="Grid Table 6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48">
    <w:name w:val="Grid Table 6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49">
    <w:name w:val="Grid Table 7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0">
    <w:name w:val="Grid Table 7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1">
    <w:name w:val="Grid Table 7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2">
    <w:name w:val="Grid Table 7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3">
    <w:name w:val="Grid Table 7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4">
    <w:name w:val="Grid Table 7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5">
    <w:name w:val="Grid Table 7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6">
    <w:name w:val="List Table 1 Light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7">
    <w:name w:val="List Table 1 Light - Accent 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8">
    <w:name w:val="List Table 1 Light - Accent 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9">
    <w:name w:val="List Table 1 Light - Accent 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0">
    <w:name w:val="List Table 1 Light - Accent 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1">
    <w:name w:val="List Table 1 Light - Accent 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2">
    <w:name w:val="List Table 1 Light - Accent 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3">
    <w:name w:val="List Table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64">
    <w:name w:val="List Table 2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65">
    <w:name w:val="List Table 2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66">
    <w:name w:val="List Table 2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67">
    <w:name w:val="List Table 2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68">
    <w:name w:val="List Table 2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69">
    <w:name w:val="List Table 2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70">
    <w:name w:val="List Table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1">
    <w:name w:val="List Table 3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2">
    <w:name w:val="List Table 3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3">
    <w:name w:val="List Table 3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4">
    <w:name w:val="List Table 3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5">
    <w:name w:val="List Table 3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6">
    <w:name w:val="List Table 3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7">
    <w:name w:val="List Table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8">
    <w:name w:val="List Table 4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9">
    <w:name w:val="List Table 4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0">
    <w:name w:val="List Table 4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1">
    <w:name w:val="List Table 4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2">
    <w:name w:val="List Table 4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3">
    <w:name w:val="List Table 4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4">
    <w:name w:val="List Table 5 Dark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85">
    <w:name w:val="List Table 5 Dark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86">
    <w:name w:val="List Table 5 Dark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87">
    <w:name w:val="List Table 5 Dark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88">
    <w:name w:val="List Table 5 Dark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89">
    <w:name w:val="List Table 5 Dark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0">
    <w:name w:val="List Table 5 Dark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1">
    <w:name w:val="List Table 6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792">
    <w:name w:val="List Table 6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793">
    <w:name w:val="List Table 6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794">
    <w:name w:val="List Table 6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795">
    <w:name w:val="List Table 6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796">
    <w:name w:val="List Table 6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797">
    <w:name w:val="List Table 6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798">
    <w:name w:val="List Table 7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799">
    <w:name w:val="List Table 7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800">
    <w:name w:val="List Table 7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801">
    <w:name w:val="List Table 7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802">
    <w:name w:val="List Table 7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803">
    <w:name w:val="List Table 7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804">
    <w:name w:val="List Table 7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805">
    <w:name w:val="Lined - Accent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06">
    <w:name w:val="Lined - Accent 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07">
    <w:name w:val="Lined - Accent 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08">
    <w:name w:val="Lined - Accent 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09">
    <w:name w:val="Lined - Accent 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10">
    <w:name w:val="Lined - Accent 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11">
    <w:name w:val="Lined - Accent 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12">
    <w:name w:val="Bordered &amp; Lined - Accent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13">
    <w:name w:val="Bordered &amp; Lined - Accent 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14">
    <w:name w:val="Bordered &amp; Lined - Accent 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15">
    <w:name w:val="Bordered &amp; Lined - Accent 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16">
    <w:name w:val="Bordered &amp; Lined - Accent 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17">
    <w:name w:val="Bordered &amp; Lined - Accent 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18">
    <w:name w:val="Bordered &amp; Lined - Accent 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19">
    <w:name w:val="Bordered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20">
    <w:name w:val="Bordered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21">
    <w:name w:val="Bordered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22">
    <w:name w:val="Bordered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23">
    <w:name w:val="Bordered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24">
    <w:name w:val="Bordered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25">
    <w:name w:val="Bordered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826">
    <w:name w:val="Hyperlink"/>
    <w:uiPriority w:val="99"/>
    <w:unhideWhenUsed/>
    <w:rPr>
      <w:color w:val="0000ff" w:themeColor="hyperlink"/>
      <w:u w:val="single"/>
    </w:rPr>
  </w:style>
  <w:style w:type="paragraph" w:styleId="827">
    <w:name w:val="footnote text"/>
    <w:basedOn w:val="844"/>
    <w:link w:val="828"/>
    <w:uiPriority w:val="99"/>
    <w:semiHidden/>
    <w:unhideWhenUsed/>
    <w:pPr>
      <w:spacing w:after="40" w:line="240" w:lineRule="auto"/>
    </w:pPr>
    <w:rPr>
      <w:sz w:val="18"/>
    </w:rPr>
  </w:style>
  <w:style w:type="character" w:styleId="828">
    <w:name w:val="Footnote Text Char"/>
    <w:link w:val="827"/>
    <w:uiPriority w:val="99"/>
    <w:rPr>
      <w:sz w:val="18"/>
    </w:rPr>
  </w:style>
  <w:style w:type="character" w:styleId="829">
    <w:name w:val="footnote reference"/>
    <w:uiPriority w:val="99"/>
    <w:unhideWhenUsed/>
    <w:rPr>
      <w:vertAlign w:val="superscript"/>
    </w:rPr>
  </w:style>
  <w:style w:type="paragraph" w:styleId="830">
    <w:name w:val="endnote text"/>
    <w:basedOn w:val="844"/>
    <w:link w:val="831"/>
    <w:uiPriority w:val="99"/>
    <w:semiHidden/>
    <w:unhideWhenUsed/>
    <w:pPr>
      <w:spacing w:after="0" w:line="240" w:lineRule="auto"/>
    </w:pPr>
    <w:rPr>
      <w:sz w:val="20"/>
    </w:rPr>
  </w:style>
  <w:style w:type="character" w:styleId="831">
    <w:name w:val="Endnote Text Char"/>
    <w:link w:val="830"/>
    <w:uiPriority w:val="99"/>
    <w:rPr>
      <w:sz w:val="20"/>
    </w:rPr>
  </w:style>
  <w:style w:type="character" w:styleId="832">
    <w:name w:val="endnote reference"/>
    <w:uiPriority w:val="99"/>
    <w:semiHidden/>
    <w:unhideWhenUsed/>
    <w:rPr>
      <w:vertAlign w:val="superscript"/>
    </w:rPr>
  </w:style>
  <w:style w:type="paragraph" w:styleId="833">
    <w:name w:val="toc 1"/>
    <w:basedOn w:val="844"/>
    <w:next w:val="844"/>
    <w:uiPriority w:val="39"/>
    <w:unhideWhenUsed/>
    <w:pPr>
      <w:ind w:left="0" w:right="0" w:firstLine="0"/>
      <w:spacing w:after="57"/>
    </w:pPr>
  </w:style>
  <w:style w:type="paragraph" w:styleId="834">
    <w:name w:val="toc 2"/>
    <w:basedOn w:val="844"/>
    <w:next w:val="844"/>
    <w:uiPriority w:val="39"/>
    <w:unhideWhenUsed/>
    <w:pPr>
      <w:ind w:left="283" w:right="0" w:firstLine="0"/>
      <w:spacing w:after="57"/>
    </w:pPr>
  </w:style>
  <w:style w:type="paragraph" w:styleId="835">
    <w:name w:val="toc 3"/>
    <w:basedOn w:val="844"/>
    <w:next w:val="844"/>
    <w:uiPriority w:val="39"/>
    <w:unhideWhenUsed/>
    <w:pPr>
      <w:ind w:left="567" w:right="0" w:firstLine="0"/>
      <w:spacing w:after="57"/>
    </w:pPr>
  </w:style>
  <w:style w:type="paragraph" w:styleId="836">
    <w:name w:val="toc 4"/>
    <w:basedOn w:val="844"/>
    <w:next w:val="844"/>
    <w:uiPriority w:val="39"/>
    <w:unhideWhenUsed/>
    <w:pPr>
      <w:ind w:left="850" w:right="0" w:firstLine="0"/>
      <w:spacing w:after="57"/>
    </w:pPr>
  </w:style>
  <w:style w:type="paragraph" w:styleId="837">
    <w:name w:val="toc 5"/>
    <w:basedOn w:val="844"/>
    <w:next w:val="844"/>
    <w:uiPriority w:val="39"/>
    <w:unhideWhenUsed/>
    <w:pPr>
      <w:ind w:left="1134" w:right="0" w:firstLine="0"/>
      <w:spacing w:after="57"/>
    </w:pPr>
  </w:style>
  <w:style w:type="paragraph" w:styleId="838">
    <w:name w:val="toc 6"/>
    <w:basedOn w:val="844"/>
    <w:next w:val="844"/>
    <w:uiPriority w:val="39"/>
    <w:unhideWhenUsed/>
    <w:pPr>
      <w:ind w:left="1417" w:right="0" w:firstLine="0"/>
      <w:spacing w:after="57"/>
    </w:pPr>
  </w:style>
  <w:style w:type="paragraph" w:styleId="839">
    <w:name w:val="toc 7"/>
    <w:basedOn w:val="844"/>
    <w:next w:val="844"/>
    <w:uiPriority w:val="39"/>
    <w:unhideWhenUsed/>
    <w:pPr>
      <w:ind w:left="1701" w:right="0" w:firstLine="0"/>
      <w:spacing w:after="57"/>
    </w:pPr>
  </w:style>
  <w:style w:type="paragraph" w:styleId="840">
    <w:name w:val="toc 8"/>
    <w:basedOn w:val="844"/>
    <w:next w:val="844"/>
    <w:uiPriority w:val="39"/>
    <w:unhideWhenUsed/>
    <w:pPr>
      <w:ind w:left="1984" w:right="0" w:firstLine="0"/>
      <w:spacing w:after="57"/>
    </w:pPr>
  </w:style>
  <w:style w:type="paragraph" w:styleId="841">
    <w:name w:val="toc 9"/>
    <w:basedOn w:val="844"/>
    <w:next w:val="844"/>
    <w:uiPriority w:val="39"/>
    <w:unhideWhenUsed/>
    <w:pPr>
      <w:ind w:left="2268" w:right="0" w:firstLine="0"/>
      <w:spacing w:after="57"/>
    </w:pPr>
  </w:style>
  <w:style w:type="paragraph" w:styleId="842">
    <w:name w:val="TOC Heading"/>
    <w:uiPriority w:val="39"/>
    <w:unhideWhenUsed/>
  </w:style>
  <w:style w:type="paragraph" w:styleId="843">
    <w:name w:val="table of figures"/>
    <w:basedOn w:val="844"/>
    <w:next w:val="844"/>
    <w:uiPriority w:val="99"/>
    <w:unhideWhenUsed/>
    <w:pPr>
      <w:spacing w:after="0" w:afterAutospacing="0"/>
    </w:pPr>
  </w:style>
  <w:style w:type="paragraph" w:styleId="844" w:default="1">
    <w:name w:val="Normal"/>
    <w:next w:val="844"/>
    <w:link w:val="844"/>
    <w:qFormat/>
    <w:pPr>
      <w:spacing w:after="160" w:line="259" w:lineRule="auto"/>
    </w:pPr>
    <w:rPr>
      <w:sz w:val="22"/>
      <w:szCs w:val="22"/>
      <w:lang w:val="ru-RU" w:eastAsia="en-US" w:bidi="ar-SA"/>
    </w:rPr>
  </w:style>
  <w:style w:type="paragraph" w:styleId="845">
    <w:name w:val="Заголовок 1"/>
    <w:basedOn w:val="844"/>
    <w:next w:val="844"/>
    <w:link w:val="860"/>
    <w:uiPriority w:val="9"/>
    <w:qFormat/>
    <w:pPr>
      <w:keepNext/>
      <w:spacing w:before="240" w:after="60"/>
      <w:outlineLvl w:val="0"/>
    </w:pPr>
    <w:rPr>
      <w:rFonts w:ascii="Calibri Light" w:hAnsi="Calibri Light" w:eastAsia="Times New Roman" w:cs="Times New Roman"/>
      <w:b/>
      <w:bCs/>
      <w:sz w:val="32"/>
      <w:szCs w:val="32"/>
    </w:rPr>
  </w:style>
  <w:style w:type="character" w:styleId="846">
    <w:name w:val="Основной шрифт абзаца"/>
    <w:next w:val="846"/>
    <w:link w:val="844"/>
    <w:uiPriority w:val="1"/>
    <w:semiHidden/>
    <w:unhideWhenUsed/>
  </w:style>
  <w:style w:type="table" w:styleId="847">
    <w:name w:val="Обычная таблица"/>
    <w:next w:val="847"/>
    <w:link w:val="844"/>
    <w:uiPriority w:val="99"/>
    <w:semiHidden/>
    <w:unhideWhenUsed/>
    <w:qFormat/>
    <w:tblPr/>
  </w:style>
  <w:style w:type="numbering" w:styleId="848">
    <w:name w:val="Нет списка"/>
    <w:next w:val="848"/>
    <w:link w:val="844"/>
    <w:uiPriority w:val="99"/>
    <w:semiHidden/>
    <w:unhideWhenUsed/>
  </w:style>
  <w:style w:type="paragraph" w:styleId="849">
    <w:name w:val="Обычный (веб)"/>
    <w:basedOn w:val="844"/>
    <w:next w:val="849"/>
    <w:link w:val="844"/>
    <w:uiPriority w:val="99"/>
    <w:unhideWhenUsed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850">
    <w:name w:val="Гиперссылка"/>
    <w:next w:val="850"/>
    <w:link w:val="844"/>
    <w:uiPriority w:val="99"/>
    <w:unhideWhenUsed/>
    <w:rPr>
      <w:color w:val="0000ff"/>
      <w:u w:val="single"/>
    </w:rPr>
  </w:style>
  <w:style w:type="paragraph" w:styleId="851">
    <w:name w:val="Текст выноски"/>
    <w:basedOn w:val="844"/>
    <w:next w:val="851"/>
    <w:link w:val="852"/>
    <w:uiPriority w:val="99"/>
    <w:semiHidden/>
    <w:unhideWhenUsed/>
    <w:pPr>
      <w:spacing w:after="0" w:line="240" w:lineRule="auto"/>
    </w:pPr>
    <w:rPr>
      <w:rFonts w:ascii="Segoe UI" w:hAnsi="Segoe UI"/>
      <w:sz w:val="18"/>
      <w:szCs w:val="18"/>
      <w:lang w:val="en-US" w:eastAsia="en-US"/>
    </w:rPr>
  </w:style>
  <w:style w:type="character" w:styleId="852">
    <w:name w:val="Текст выноски Знак"/>
    <w:next w:val="852"/>
    <w:link w:val="851"/>
    <w:uiPriority w:val="99"/>
    <w:semiHidden/>
    <w:rPr>
      <w:rFonts w:ascii="Segoe UI" w:hAnsi="Segoe UI" w:cs="Segoe UI"/>
      <w:sz w:val="18"/>
      <w:szCs w:val="18"/>
    </w:rPr>
  </w:style>
  <w:style w:type="paragraph" w:styleId="853">
    <w:name w:val="Без интервала"/>
    <w:next w:val="853"/>
    <w:link w:val="854"/>
    <w:uiPriority w:val="1"/>
    <w:qFormat/>
    <w:rPr>
      <w:rFonts w:eastAsia="Times New Roman"/>
      <w:sz w:val="22"/>
      <w:szCs w:val="22"/>
      <w:lang w:val="ru-RU" w:eastAsia="ru-RU" w:bidi="ar-SA"/>
    </w:rPr>
  </w:style>
  <w:style w:type="character" w:styleId="854">
    <w:name w:val="Без интервала Знак"/>
    <w:next w:val="854"/>
    <w:link w:val="853"/>
    <w:uiPriority w:val="1"/>
    <w:rPr>
      <w:rFonts w:eastAsia="Times New Roman"/>
      <w:sz w:val="22"/>
      <w:szCs w:val="22"/>
      <w:lang w:eastAsia="ru-RU" w:bidi="ar-SA"/>
    </w:rPr>
  </w:style>
  <w:style w:type="character" w:styleId="855">
    <w:name w:val="Строгий"/>
    <w:next w:val="855"/>
    <w:link w:val="844"/>
    <w:uiPriority w:val="22"/>
    <w:qFormat/>
    <w:rPr>
      <w:b/>
      <w:bCs/>
    </w:rPr>
  </w:style>
  <w:style w:type="paragraph" w:styleId="856">
    <w:name w:val="Абзац списка"/>
    <w:basedOn w:val="844"/>
    <w:next w:val="856"/>
    <w:link w:val="844"/>
    <w:uiPriority w:val="34"/>
    <w:qFormat/>
    <w:pPr>
      <w:contextualSpacing/>
      <w:ind w:left="720"/>
      <w:spacing w:after="200" w:line="276" w:lineRule="auto"/>
    </w:pPr>
    <w:rPr>
      <w:rFonts w:ascii="Calibri" w:hAnsi="Calibri" w:eastAsia="Calibri" w:cs="Times New Roman"/>
    </w:rPr>
  </w:style>
  <w:style w:type="character" w:styleId="857">
    <w:name w:val="Выделение"/>
    <w:next w:val="857"/>
    <w:link w:val="844"/>
    <w:uiPriority w:val="20"/>
    <w:qFormat/>
    <w:rPr>
      <w:i/>
      <w:iCs/>
    </w:rPr>
  </w:style>
  <w:style w:type="paragraph" w:styleId="858">
    <w:name w:val="Маркированный список"/>
    <w:basedOn w:val="844"/>
    <w:next w:val="858"/>
    <w:link w:val="844"/>
    <w:uiPriority w:val="99"/>
    <w:unhideWhenUsed/>
    <w:pPr>
      <w:numPr>
        <w:ilvl w:val="0"/>
        <w:numId w:val="4"/>
      </w:numPr>
      <w:contextualSpacing/>
    </w:pPr>
  </w:style>
  <w:style w:type="character" w:styleId="859">
    <w:name w:val="fontstyle01"/>
    <w:next w:val="859"/>
    <w:link w:val="844"/>
    <w:rPr>
      <w:rFonts w:ascii="Times New Roman" w:hAnsi="Times New Roman" w:cs="Times New Roman"/>
      <w:color w:val="000000"/>
      <w:sz w:val="28"/>
      <w:szCs w:val="28"/>
    </w:rPr>
  </w:style>
  <w:style w:type="character" w:styleId="860">
    <w:name w:val="Заголовок 1 Знак"/>
    <w:next w:val="860"/>
    <w:link w:val="845"/>
    <w:uiPriority w:val="9"/>
    <w:rPr>
      <w:rFonts w:ascii="Calibri Light" w:hAnsi="Calibri Light" w:eastAsia="Times New Roman" w:cs="Times New Roman"/>
      <w:b/>
      <w:bCs/>
      <w:sz w:val="32"/>
      <w:szCs w:val="32"/>
      <w:lang w:eastAsia="en-US"/>
    </w:rPr>
  </w:style>
  <w:style w:type="character" w:styleId="861">
    <w:name w:val="Основной текст_"/>
    <w:next w:val="861"/>
    <w:link w:val="862"/>
    <w:rPr>
      <w:rFonts w:ascii="Times New Roman" w:hAnsi="Times New Roman" w:eastAsia="Times New Roman"/>
      <w:sz w:val="26"/>
      <w:szCs w:val="26"/>
      <w:shd w:val="clear" w:color="auto" w:fill="ffffff"/>
    </w:rPr>
  </w:style>
  <w:style w:type="paragraph" w:styleId="862">
    <w:name w:val="Основной текст2"/>
    <w:basedOn w:val="844"/>
    <w:next w:val="862"/>
    <w:link w:val="861"/>
    <w:pPr>
      <w:jc w:val="both"/>
      <w:spacing w:before="300" w:after="0" w:line="320" w:lineRule="exact"/>
      <w:shd w:val="clear" w:color="auto" w:fill="ffffff"/>
    </w:pPr>
    <w:rPr>
      <w:rFonts w:ascii="Times New Roman" w:hAnsi="Times New Roman" w:eastAsia="Times New Roman"/>
      <w:sz w:val="26"/>
      <w:szCs w:val="26"/>
      <w:lang w:eastAsia="ru-RU"/>
    </w:rPr>
  </w:style>
  <w:style w:type="character" w:styleId="863">
    <w:name w:val="Основной текст (2)_"/>
    <w:next w:val="863"/>
    <w:link w:val="866"/>
    <w:rPr>
      <w:sz w:val="19"/>
      <w:szCs w:val="19"/>
      <w:shd w:val="clear" w:color="auto" w:fill="ffffff"/>
    </w:rPr>
  </w:style>
  <w:style w:type="character" w:styleId="864">
    <w:name w:val="Основной текст (3)_"/>
    <w:next w:val="864"/>
    <w:link w:val="867"/>
    <w:rPr>
      <w:sz w:val="22"/>
      <w:szCs w:val="22"/>
      <w:shd w:val="clear" w:color="auto" w:fill="ffffff"/>
    </w:rPr>
  </w:style>
  <w:style w:type="character" w:styleId="865">
    <w:name w:val="Основной текст (4)_"/>
    <w:next w:val="865"/>
    <w:link w:val="868"/>
    <w:rPr>
      <w:shd w:val="clear" w:color="auto" w:fill="ffffff"/>
    </w:rPr>
  </w:style>
  <w:style w:type="paragraph" w:styleId="866">
    <w:name w:val="Основной текст (2)"/>
    <w:basedOn w:val="844"/>
    <w:next w:val="866"/>
    <w:link w:val="863"/>
    <w:pPr>
      <w:spacing w:after="0" w:line="364" w:lineRule="exact"/>
      <w:shd w:val="clear" w:color="auto" w:fill="ffffff"/>
      <w:widowControl w:val="off"/>
    </w:pPr>
    <w:rPr>
      <w:sz w:val="19"/>
      <w:szCs w:val="19"/>
      <w:lang w:eastAsia="ru-RU"/>
    </w:rPr>
  </w:style>
  <w:style w:type="paragraph" w:styleId="867">
    <w:name w:val="Основной текст (3)"/>
    <w:basedOn w:val="844"/>
    <w:next w:val="867"/>
    <w:link w:val="864"/>
    <w:pPr>
      <w:spacing w:after="0" w:line="240" w:lineRule="atLeast"/>
      <w:shd w:val="clear" w:color="auto" w:fill="ffffff"/>
      <w:widowControl w:val="off"/>
    </w:pPr>
    <w:rPr>
      <w:lang w:eastAsia="ru-RU"/>
    </w:rPr>
  </w:style>
  <w:style w:type="paragraph" w:styleId="868">
    <w:name w:val="Основной текст (4)"/>
    <w:basedOn w:val="844"/>
    <w:next w:val="868"/>
    <w:link w:val="865"/>
    <w:pPr>
      <w:spacing w:after="0" w:line="240" w:lineRule="atLeast"/>
      <w:shd w:val="clear" w:color="auto" w:fill="ffffff"/>
      <w:widowControl w:val="off"/>
    </w:pPr>
    <w:rPr>
      <w:sz w:val="20"/>
      <w:szCs w:val="20"/>
      <w:lang w:eastAsia="ru-RU"/>
    </w:rPr>
  </w:style>
  <w:style w:type="paragraph" w:styleId="869">
    <w:name w:val="block__block-3c"/>
    <w:basedOn w:val="844"/>
    <w:next w:val="869"/>
    <w:link w:val="844"/>
    <w:pPr>
      <w:spacing w:before="100" w:beforeAutospacing="1" w:after="100" w:afterAutospacing="1" w:line="240" w:lineRule="auto"/>
    </w:pPr>
    <w:rPr>
      <w:rFonts w:ascii="Times New Roman" w:hAnsi="Times New Roman" w:eastAsia="Times New Roman"/>
      <w:sz w:val="24"/>
      <w:szCs w:val="24"/>
      <w:lang w:eastAsia="ru-RU"/>
    </w:rPr>
  </w:style>
  <w:style w:type="character" w:styleId="870" w:default="1">
    <w:name w:val="Default Paragraph Font"/>
    <w:uiPriority w:val="1"/>
    <w:semiHidden/>
    <w:unhideWhenUsed/>
  </w:style>
  <w:style w:type="numbering" w:styleId="871" w:default="1">
    <w:name w:val="No List"/>
    <w:uiPriority w:val="99"/>
    <w:semiHidden/>
    <w:unhideWhenUsed/>
  </w:style>
  <w:style w:type="table" w:styleId="872" w:default="1">
    <w:name w:val="Normal Table"/>
    <w:uiPriority w:val="99"/>
    <w:semiHidden/>
    <w:unhideWhenUsed/>
    <w:tblPr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image" Target="media/image1.pn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Р7-Офис/2024.3.2.551</Application>
  <DocSecurity>0</DocSecurity>
  <HyperlinksChanged>false</HyperlinksChanged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Миронова Мария Сергеевна</dc:creator>
  <cp:revision>231</cp:revision>
  <dcterms:created xsi:type="dcterms:W3CDTF">2023-01-18T04:28:00Z</dcterms:created>
  <dcterms:modified xsi:type="dcterms:W3CDTF">2024-12-18T04:27:44Z</dcterms:modified>
  <cp:version>1048576</cp:version>
</cp:coreProperties>
</file>