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4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96465" cy="771288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96465" cy="771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5.08pt;height:60.73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44"/>
        <w:ind w:firstLine="709"/>
        <w:jc w:val="right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sk-SK"/>
        </w:rPr>
        <w:t xml:space="preserve">Пресс-релиз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2"/>
        <w:spacing w:before="0" w:line="240" w:lineRule="auto"/>
        <w:shd w:val="clear" w:color="auto" w:fill="auto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44"/>
        <w:jc w:val="both"/>
        <w:spacing w:after="0" w:line="240" w:lineRule="auto"/>
        <w:shd w:val="clear" w:color="auto" w:fill="ffffff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</w:r>
    </w:p>
    <w:p>
      <w:pPr>
        <w:jc w:val="center"/>
        <w:spacing w:after="0" w:line="276" w:lineRule="auto"/>
        <w:rPr>
          <w:rFonts w:ascii="Tinos" w:hAnsi="Tinos" w:cs="Tinos"/>
          <w:b/>
          <w:bCs/>
          <w:color w:val="000000" w:themeColor="text1"/>
          <w:sz w:val="26"/>
          <w:szCs w:val="26"/>
        </w:rPr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Публичная кадастровая карта перенесена на единую цифровую платформу НСПД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</w:r>
    </w:p>
    <w:p>
      <w:pPr>
        <w:jc w:val="both"/>
        <w:spacing w:after="0" w:line="276" w:lineRule="auto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 w:line="276" w:lineRule="auto"/>
        <w:rPr>
          <w:rFonts w:ascii="Tinos" w:hAnsi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Публичная кадастровая карта теперь доступна жителям Хакасии на единой цифровой платформе «Национальная система пространственных данных».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В результате объединения пользователи получили доступ к улучшенным функциональным возможностям и новой информации.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 w:line="276" w:lineRule="auto"/>
        <w:rPr>
          <w:rFonts w:ascii="Tinos" w:hAnsi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none"/>
        </w:rPr>
        <w:t xml:space="preserve">«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Например, со страницы ресурса можно сразу перейти к сервисам НСПД или запросить сведения в виде выписки из ЕГРН.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Это позволит упростить доступ к важной ин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формации о земельных участках и сделках с недвижимостью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none"/>
        </w:rPr>
        <w:t xml:space="preserve">»,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 – сообщила руководитель Росреестра Хакасии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Ольга Анисимова.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ind w:firstLine="708"/>
        <w:jc w:val="both"/>
        <w:spacing w:after="0" w:line="276" w:lineRule="auto"/>
        <w:rPr>
          <w:rFonts w:ascii="Tinos" w:hAnsi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Сервисы «Земля для стройки» и «Земля для туризма»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, которые ранее располагались на Публичной кадастровой карте, теперь также перенесены</w:t>
        <w:br/>
        <w:t xml:space="preserve">в сервисную часть Единой цифровой платформы НСПД и трансформированы в полноценные сервисы для граждан и бизнеса. С их помощью можно подобрать земельные участки и территор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ии для жилищного строительства или реализации туристических проектов. </w:t>
      </w:r>
      <w:r>
        <w:rPr>
          <w:rFonts w:ascii="Tinos" w:hAnsi="Tinos" w:eastAsia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 w:line="276" w:lineRule="auto"/>
        <w:rPr>
          <w:rFonts w:ascii="Tinos" w:hAnsi="Tinos" w:cs="Tinos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none"/>
        </w:rPr>
        <w:t xml:space="preserve">«В своей работе мы ежедневно обращаемся к Публичной кадастровой карте за поиском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 участков, домов, зданий.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white"/>
        </w:rPr>
        <w:t xml:space="preserve">Очень удобно искать нужный объект по кадастровому номер или адресу, или просто листая карту и увеличивая те или иные фрагменты. 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  <w:highlight w:val="none"/>
        </w:rPr>
        <w:t xml:space="preserve">С помощью карты мы видим границы участков, площадь, вид разрешенного использования, кадастровую стоимость, форму собственности и другие сведения. С объединением карты с НСПД </w:t>
      </w:r>
      <w:r>
        <w:rPr>
          <w:rFonts w:ascii="Tinos" w:hAnsi="Tinos" w:eastAsia="Tinos" w:cs="Tinos"/>
          <w:i/>
          <w:iCs/>
          <w:color w:val="000000" w:themeColor="text1"/>
          <w:sz w:val="26"/>
          <w:szCs w:val="26"/>
        </w:rPr>
        <w:t xml:space="preserve">стало возможным настраивать слои, распечатывать нужный фрагмент, задавать вопросы в чате, также появилась новая цветовая индикация для упрощения визуального восприятия»,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– отметил кадастровый инженер Хакасии Андрей Дорофеев.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</w:rPr>
      </w:r>
    </w:p>
    <w:p>
      <w:pPr>
        <w:ind w:firstLine="708"/>
        <w:jc w:val="both"/>
        <w:spacing w:after="0" w:line="276" w:lineRule="auto"/>
        <w:rPr>
          <w:rFonts w:ascii="Tinos" w:hAnsi="Tinos" w:cs="Tinos"/>
          <w:color w:val="292c2f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Публичная кадастровая карта размещена на главной странице </w:t>
      </w:r>
      <w:hyperlink r:id="rId10" w:tooltip="https://nspd.gov.ru/" w:history="1">
        <w:r>
          <w:rPr>
            <w:rStyle w:val="850"/>
            <w:rFonts w:ascii="Tinos" w:hAnsi="Tinos" w:eastAsia="Tinos" w:cs="Tinos"/>
            <w:color w:val="000000" w:themeColor="text1"/>
            <w:sz w:val="26"/>
            <w:szCs w:val="26"/>
            <w:u w:val="single"/>
          </w:rPr>
          <w:t xml:space="preserve">портала НСПД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 и доступна всем пользователям без необходимости авторизации</w:t>
        <w:br/>
        <w:t xml:space="preserve">и без взимания платы.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292c2f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line="276" w:lineRule="auto"/>
        <w:rPr>
          <w:rFonts w:ascii="Tinos" w:hAnsi="Tinos" w:eastAsia="Tinos" w:cs="Tinos"/>
          <w:color w:val="000000" w:themeColor="text1"/>
          <w:sz w:val="26"/>
          <w:szCs w:val="26"/>
        </w:rPr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Росреестре Хакасии добавили, что портал НСПД, как и </w:t>
      </w:r>
      <w:hyperlink r:id="rId11" w:tooltip="https://rosreestr.gov.ru/" w:history="1">
        <w:r>
          <w:rPr>
            <w:rStyle w:val="850"/>
            <w:rFonts w:ascii="Tinos" w:hAnsi="Tinos" w:eastAsia="Tinos" w:cs="Tinos"/>
            <w:color w:val="000000" w:themeColor="text1"/>
            <w:sz w:val="26"/>
            <w:szCs w:val="26"/>
            <w:u w:val="single"/>
          </w:rPr>
          <w:t xml:space="preserve">официальный сайт Росреестра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 работает на российских сертификатах безопасности. Они не поддерживаются иностранным ПО, но необходимы, чтобы обеспечить защищённое соединение, обезопасить ваши данные и онлайн-транзакции.</w:t>
      </w:r>
      <w:r>
        <w:rPr>
          <w:rFonts w:ascii="Tinos" w:hAnsi="Tinos" w:cs="Tinos"/>
          <w:color w:val="000000" w:themeColor="text1"/>
          <w:sz w:val="26"/>
          <w:szCs w:val="26"/>
          <w:highlight w:val="white"/>
        </w:rPr>
      </w:r>
    </w:p>
    <w:p>
      <w:pPr>
        <w:ind w:firstLine="708"/>
        <w:jc w:val="both"/>
        <w:spacing w:after="0" w:line="276" w:lineRule="auto"/>
        <w:rPr>
          <w:rFonts w:ascii="Tinos" w:hAnsi="Tinos" w:cs="Tinos"/>
          <w:color w:val="000000" w:themeColor="text1"/>
          <w:sz w:val="26"/>
          <w:szCs w:val="26"/>
          <w:highlight w:val="white"/>
        </w:rPr>
      </w:pP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Для бесперебойного доступа ко всем сайтам и сервисам рекомендуется 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спользовать браузеры с поддержкой российских сертификатов (например, Яндекс или Атом).</w:t>
      </w:r>
      <w:r/>
    </w:p>
    <w:p>
      <w:pPr>
        <w:ind w:firstLine="0"/>
        <w:jc w:val="both"/>
        <w:spacing w:after="0" w:line="276" w:lineRule="auto"/>
        <w:rPr>
          <w:rFonts w:ascii="Tinos" w:hAnsi="Tinos" w:eastAsia="Tinos" w:cs="Tinos"/>
          <w:color w:val="000000"/>
          <w:sz w:val="26"/>
          <w:szCs w:val="26"/>
          <w:highlight w:val="none"/>
        </w:rPr>
      </w:pPr>
      <w:r>
        <w:rPr>
          <w:rFonts w:ascii="Roboto" w:hAnsi="Roboto" w:eastAsia="Roboto" w:cs="Roboto"/>
          <w:color w:val="292c2f"/>
          <w:sz w:val="24"/>
          <w:highlight w:val="none"/>
        </w:rPr>
      </w:r>
      <w:r>
        <w:rPr>
          <w:rFonts w:ascii="Roboto" w:hAnsi="Roboto" w:eastAsia="Roboto" w:cs="Roboto"/>
          <w:color w:val="292c2f"/>
          <w:sz w:val="24"/>
          <w:highlight w:val="none"/>
        </w:rPr>
      </w:r>
      <w:r>
        <w:rPr>
          <w:rFonts w:ascii="Tinos" w:hAnsi="Tinos" w:eastAsia="Tinos" w:cs="Tinos"/>
          <w:color w:val="000000"/>
          <w:sz w:val="26"/>
          <w:szCs w:val="26"/>
          <w:highlight w:val="none"/>
        </w:rPr>
      </w:r>
    </w:p>
    <w:p>
      <w:pPr>
        <w:jc w:val="left"/>
        <w:spacing w:after="0" w:line="276" w:lineRule="auto"/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jc w:val="center"/>
        <w:spacing w:after="0" w:line="276" w:lineRule="auto"/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jc w:val="both"/>
        <w:spacing w:after="0" w:line="276" w:lineRule="auto"/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pPr>
      <w:r>
        <w:rPr>
          <w:rFonts w:ascii="Tinos" w:hAnsi="Tinos" w:eastAsia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b/>
          <w:bCs w:val="0"/>
          <w:i w:val="0"/>
          <w:color w:val="000000" w:themeColor="text1"/>
          <w:sz w:val="26"/>
          <w:szCs w:val="26"/>
          <w:highlight w:val="none"/>
        </w:rPr>
      </w:r>
    </w:p>
    <w:p>
      <w:pPr>
        <w:ind w:left="0" w:right="0" w:firstLine="708"/>
        <w:jc w:val="both"/>
        <w:spacing w:before="0" w:after="0" w:line="276" w:lineRule="auto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jc w:val="left"/>
        <w:spacing w:after="0" w:line="276" w:lineRule="auto"/>
        <w:rPr>
          <w:rFonts w:ascii="Times New Roman" w:hAnsi="Times New Roman"/>
          <w:sz w:val="16"/>
          <w:szCs w:val="16"/>
          <w:highlight w:val="none"/>
        </w:rPr>
      </w:pPr>
      <w:r>
        <w:rPr>
          <w:rFonts w:ascii="Times New Roman" w:hAnsi="Times New Roman"/>
          <w:sz w:val="16"/>
          <w:szCs w:val="16"/>
          <w:highlight w:val="none"/>
          <w:lang w:eastAsia="sk-SK"/>
        </w:rPr>
      </w:r>
      <w:r>
        <w:rPr>
          <w:rFonts w:ascii="Times New Roman" w:hAnsi="Times New Roman"/>
          <w:sz w:val="16"/>
          <w:szCs w:val="16"/>
          <w:highlight w:val="none"/>
        </w:rPr>
      </w:r>
      <w:r>
        <w:rPr>
          <w:rFonts w:ascii="Times New Roman" w:hAnsi="Times New Roman"/>
          <w:sz w:val="16"/>
          <w:szCs w:val="16"/>
          <w:highlight w:val="none"/>
        </w:rPr>
      </w:r>
    </w:p>
    <w:p>
      <w:pPr>
        <w:pStyle w:val="844"/>
        <w:jc w:val="left"/>
        <w:spacing w:after="0" w:line="276" w:lineRule="auto"/>
        <w:rPr>
          <w:rFonts w:ascii="Times New Roman" w:hAnsi="Times New Roman"/>
          <w:sz w:val="16"/>
          <w:szCs w:val="16"/>
          <w:highlight w:val="none"/>
          <w:lang w:eastAsia="sk-SK"/>
        </w:rPr>
      </w:pPr>
      <w:r>
        <w:rPr>
          <w:rFonts w:ascii="Times New Roman" w:hAnsi="Times New Roman"/>
          <w:sz w:val="16"/>
          <w:szCs w:val="16"/>
          <w:highlight w:val="none"/>
          <w:lang w:eastAsia="sk-SK"/>
        </w:rPr>
      </w:r>
      <w:r>
        <w:rPr>
          <w:rFonts w:ascii="Times New Roman" w:hAnsi="Times New Roman"/>
          <w:sz w:val="16"/>
          <w:szCs w:val="16"/>
          <w:lang w:eastAsia="sk-SK"/>
        </w:rPr>
        <w:t xml:space="preserve">Контакты для СМИ</w:t>
      </w:r>
      <w:r>
        <w:rPr>
          <w:rFonts w:ascii="Times New Roman" w:hAnsi="Times New Roman"/>
          <w:sz w:val="16"/>
          <w:szCs w:val="16"/>
          <w:highlight w:val="none"/>
          <w:lang w:eastAsia="sk-SK"/>
        </w:rPr>
      </w:r>
      <w:r>
        <w:rPr>
          <w:rFonts w:ascii="Times New Roman" w:hAnsi="Times New Roman"/>
          <w:sz w:val="16"/>
          <w:szCs w:val="16"/>
          <w:highlight w:val="none"/>
          <w:lang w:eastAsia="sk-SK"/>
        </w:rPr>
      </w:r>
    </w:p>
    <w:p>
      <w:pPr>
        <w:pStyle w:val="844"/>
        <w:jc w:val="both"/>
        <w:spacing w:after="0" w:line="240" w:lineRule="auto"/>
        <w:rPr>
          <w:rFonts w:ascii="Times New Roman" w:hAnsi="Times New Roman"/>
          <w:sz w:val="16"/>
          <w:szCs w:val="16"/>
          <w:shd w:val="clear" w:color="auto" w:fill="ffffff"/>
        </w:rPr>
      </w:pPr>
      <w:r>
        <w:rPr>
          <w:rFonts w:ascii="Times New Roman" w:hAnsi="Times New Roman"/>
          <w:sz w:val="16"/>
          <w:szCs w:val="16"/>
        </w:rPr>
        <w:t xml:space="preserve">Пресс-служба Росреестра </w:t>
      </w:r>
      <w:r>
        <w:rPr>
          <w:rFonts w:ascii="Times New Roman" w:hAnsi="Times New Roman"/>
          <w:sz w:val="16"/>
          <w:szCs w:val="16"/>
        </w:rPr>
        <w:t xml:space="preserve">и Роскадастра </w:t>
      </w:r>
      <w:r>
        <w:rPr>
          <w:rFonts w:ascii="Times New Roman" w:hAnsi="Times New Roman"/>
          <w:sz w:val="16"/>
          <w:szCs w:val="16"/>
        </w:rPr>
        <w:t xml:space="preserve">РХ</w:t>
      </w:r>
      <w:r>
        <w:rPr>
          <w:rFonts w:ascii="Times New Roman" w:hAnsi="Times New Roman"/>
          <w:sz w:val="16"/>
          <w:szCs w:val="16"/>
          <w:shd w:val="clear" w:color="auto" w:fill="ffffff"/>
        </w:rPr>
      </w:r>
      <w:r>
        <w:rPr>
          <w:rFonts w:ascii="Times New Roman" w:hAnsi="Times New Roman"/>
          <w:sz w:val="16"/>
          <w:szCs w:val="16"/>
          <w:shd w:val="clear" w:color="auto" w:fill="ffffff"/>
        </w:rPr>
      </w:r>
    </w:p>
    <w:p>
      <w:pPr>
        <w:pStyle w:val="844"/>
        <w:jc w:val="both"/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Тел. 23-99-88, 8(983)273-750</w:t>
      </w:r>
      <w:r>
        <w:rPr>
          <w:rFonts w:ascii="Times New Roman" w:hAnsi="Times New Roman"/>
          <w:sz w:val="16"/>
          <w:szCs w:val="16"/>
        </w:rPr>
      </w:r>
      <w:r>
        <w:rPr>
          <w:rFonts w:ascii="Times New Roman" w:hAnsi="Times New Roman"/>
          <w:sz w:val="16"/>
          <w:szCs w:val="16"/>
        </w:rPr>
      </w:r>
    </w:p>
    <w:sectPr>
      <w:footnotePr/>
      <w:endnotePr/>
      <w:type w:val="nextPage"/>
      <w:pgSz w:w="11906" w:h="16838" w:orient="portrait"/>
      <w:pgMar w:top="709" w:right="850" w:bottom="568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Roboto">
    <w:panose1 w:val="02000000000000000000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858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next w:val="844"/>
    <w:link w:val="844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paragraph" w:styleId="845">
    <w:name w:val="Заголовок 1"/>
    <w:basedOn w:val="844"/>
    <w:next w:val="844"/>
    <w:link w:val="860"/>
    <w:uiPriority w:val="9"/>
    <w:qFormat/>
    <w:pPr>
      <w:keepNext/>
      <w:spacing w:before="240" w:after="60"/>
      <w:outlineLvl w:val="0"/>
    </w:pPr>
    <w:rPr>
      <w:rFonts w:ascii="Calibri Light" w:hAnsi="Calibri Light" w:eastAsia="Times New Roman" w:cs="Times New Roman"/>
      <w:b/>
      <w:bCs/>
      <w:sz w:val="32"/>
      <w:szCs w:val="32"/>
    </w:rPr>
  </w:style>
  <w:style w:type="character" w:styleId="846">
    <w:name w:val="Основной шрифт абзаца"/>
    <w:next w:val="846"/>
    <w:link w:val="844"/>
    <w:uiPriority w:val="1"/>
    <w:semiHidden/>
    <w:unhideWhenUsed/>
  </w:style>
  <w:style w:type="table" w:styleId="847">
    <w:name w:val="Обычная таблица"/>
    <w:next w:val="847"/>
    <w:link w:val="844"/>
    <w:uiPriority w:val="99"/>
    <w:semiHidden/>
    <w:unhideWhenUsed/>
    <w:qFormat/>
    <w:tblPr/>
  </w:style>
  <w:style w:type="numbering" w:styleId="848">
    <w:name w:val="Нет списка"/>
    <w:next w:val="848"/>
    <w:link w:val="844"/>
    <w:uiPriority w:val="99"/>
    <w:semiHidden/>
    <w:unhideWhenUsed/>
  </w:style>
  <w:style w:type="paragraph" w:styleId="849">
    <w:name w:val="Обычный (веб)"/>
    <w:basedOn w:val="844"/>
    <w:next w:val="849"/>
    <w:link w:val="84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0">
    <w:name w:val="Гиперссылка"/>
    <w:next w:val="850"/>
    <w:link w:val="844"/>
    <w:uiPriority w:val="99"/>
    <w:unhideWhenUsed/>
    <w:rPr>
      <w:color w:val="0000ff"/>
      <w:u w:val="single"/>
    </w:rPr>
  </w:style>
  <w:style w:type="paragraph" w:styleId="851">
    <w:name w:val="Текст выноски"/>
    <w:basedOn w:val="844"/>
    <w:next w:val="851"/>
    <w:link w:val="852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 w:eastAsia="en-US"/>
    </w:rPr>
  </w:style>
  <w:style w:type="character" w:styleId="852">
    <w:name w:val="Текст выноски Знак"/>
    <w:next w:val="852"/>
    <w:link w:val="851"/>
    <w:uiPriority w:val="99"/>
    <w:semiHidden/>
    <w:rPr>
      <w:rFonts w:ascii="Segoe UI" w:hAnsi="Segoe UI" w:cs="Segoe UI"/>
      <w:sz w:val="18"/>
      <w:szCs w:val="18"/>
    </w:rPr>
  </w:style>
  <w:style w:type="paragraph" w:styleId="853">
    <w:name w:val="Без интервала"/>
    <w:next w:val="853"/>
    <w:link w:val="854"/>
    <w:uiPriority w:val="1"/>
    <w:qFormat/>
    <w:rPr>
      <w:rFonts w:eastAsia="Times New Roman"/>
      <w:sz w:val="22"/>
      <w:szCs w:val="22"/>
      <w:lang w:val="ru-RU" w:eastAsia="ru-RU" w:bidi="ar-SA"/>
    </w:rPr>
  </w:style>
  <w:style w:type="character" w:styleId="854">
    <w:name w:val="Без интервала Знак"/>
    <w:next w:val="854"/>
    <w:link w:val="853"/>
    <w:uiPriority w:val="1"/>
    <w:rPr>
      <w:rFonts w:eastAsia="Times New Roman"/>
      <w:sz w:val="22"/>
      <w:szCs w:val="22"/>
      <w:lang w:eastAsia="ru-RU" w:bidi="ar-SA"/>
    </w:rPr>
  </w:style>
  <w:style w:type="character" w:styleId="855">
    <w:name w:val="Строгий"/>
    <w:next w:val="855"/>
    <w:link w:val="844"/>
    <w:uiPriority w:val="22"/>
    <w:qFormat/>
    <w:rPr>
      <w:b/>
      <w:bCs/>
    </w:rPr>
  </w:style>
  <w:style w:type="paragraph" w:styleId="856">
    <w:name w:val="Абзац списка"/>
    <w:basedOn w:val="844"/>
    <w:next w:val="856"/>
    <w:link w:val="844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</w:rPr>
  </w:style>
  <w:style w:type="character" w:styleId="857">
    <w:name w:val="Выделение"/>
    <w:next w:val="857"/>
    <w:link w:val="844"/>
    <w:uiPriority w:val="20"/>
    <w:qFormat/>
    <w:rPr>
      <w:i/>
      <w:iCs/>
    </w:rPr>
  </w:style>
  <w:style w:type="paragraph" w:styleId="858">
    <w:name w:val="Маркированный список"/>
    <w:basedOn w:val="844"/>
    <w:next w:val="858"/>
    <w:link w:val="844"/>
    <w:uiPriority w:val="99"/>
    <w:unhideWhenUsed/>
    <w:pPr>
      <w:numPr>
        <w:ilvl w:val="0"/>
        <w:numId w:val="4"/>
      </w:numPr>
      <w:contextualSpacing/>
    </w:pPr>
  </w:style>
  <w:style w:type="character" w:styleId="859">
    <w:name w:val="fontstyle01"/>
    <w:next w:val="859"/>
    <w:link w:val="844"/>
    <w:rPr>
      <w:rFonts w:ascii="Times New Roman" w:hAnsi="Times New Roman" w:cs="Times New Roman"/>
      <w:color w:val="000000"/>
      <w:sz w:val="28"/>
      <w:szCs w:val="28"/>
    </w:rPr>
  </w:style>
  <w:style w:type="character" w:styleId="860">
    <w:name w:val="Заголовок 1 Знак"/>
    <w:next w:val="860"/>
    <w:link w:val="845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861">
    <w:name w:val="Основной текст_"/>
    <w:next w:val="861"/>
    <w:link w:val="862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862">
    <w:name w:val="Основной текст2"/>
    <w:basedOn w:val="844"/>
    <w:next w:val="862"/>
    <w:link w:val="861"/>
    <w:pPr>
      <w:jc w:val="both"/>
      <w:spacing w:before="300" w:after="0" w:line="320" w:lineRule="exact"/>
      <w:shd w:val="clear" w:color="auto" w:fill="ffffff"/>
    </w:pPr>
    <w:rPr>
      <w:rFonts w:ascii="Times New Roman" w:hAnsi="Times New Roman" w:eastAsia="Times New Roman"/>
      <w:sz w:val="26"/>
      <w:szCs w:val="26"/>
      <w:lang w:eastAsia="ru-RU"/>
    </w:rPr>
  </w:style>
  <w:style w:type="character" w:styleId="863">
    <w:name w:val="Основной текст (2)_"/>
    <w:next w:val="863"/>
    <w:link w:val="866"/>
    <w:rPr>
      <w:sz w:val="19"/>
      <w:szCs w:val="19"/>
      <w:shd w:val="clear" w:color="auto" w:fill="ffffff"/>
    </w:rPr>
  </w:style>
  <w:style w:type="character" w:styleId="864">
    <w:name w:val="Основной текст (3)_"/>
    <w:next w:val="864"/>
    <w:link w:val="867"/>
    <w:rPr>
      <w:sz w:val="22"/>
      <w:szCs w:val="22"/>
      <w:shd w:val="clear" w:color="auto" w:fill="ffffff"/>
    </w:rPr>
  </w:style>
  <w:style w:type="character" w:styleId="865">
    <w:name w:val="Основной текст (4)_"/>
    <w:next w:val="865"/>
    <w:link w:val="868"/>
    <w:rPr>
      <w:shd w:val="clear" w:color="auto" w:fill="ffffff"/>
    </w:rPr>
  </w:style>
  <w:style w:type="paragraph" w:styleId="866">
    <w:name w:val="Основной текст (2)"/>
    <w:basedOn w:val="844"/>
    <w:next w:val="866"/>
    <w:link w:val="863"/>
    <w:pPr>
      <w:spacing w:after="0" w:line="364" w:lineRule="exact"/>
      <w:shd w:val="clear" w:color="auto" w:fill="ffffff"/>
      <w:widowControl w:val="off"/>
    </w:pPr>
    <w:rPr>
      <w:sz w:val="19"/>
      <w:szCs w:val="19"/>
      <w:lang w:eastAsia="ru-RU"/>
    </w:rPr>
  </w:style>
  <w:style w:type="paragraph" w:styleId="867">
    <w:name w:val="Основной текст (3)"/>
    <w:basedOn w:val="844"/>
    <w:next w:val="867"/>
    <w:link w:val="864"/>
    <w:pPr>
      <w:spacing w:after="0" w:line="240" w:lineRule="atLeast"/>
      <w:shd w:val="clear" w:color="auto" w:fill="ffffff"/>
      <w:widowControl w:val="off"/>
    </w:pPr>
    <w:rPr>
      <w:lang w:eastAsia="ru-RU"/>
    </w:rPr>
  </w:style>
  <w:style w:type="paragraph" w:styleId="868">
    <w:name w:val="Основной текст (4)"/>
    <w:basedOn w:val="844"/>
    <w:next w:val="868"/>
    <w:link w:val="865"/>
    <w:pPr>
      <w:spacing w:after="0" w:line="240" w:lineRule="atLeast"/>
      <w:shd w:val="clear" w:color="auto" w:fill="ffffff"/>
      <w:widowControl w:val="off"/>
    </w:pPr>
    <w:rPr>
      <w:sz w:val="20"/>
      <w:szCs w:val="20"/>
      <w:lang w:eastAsia="ru-RU"/>
    </w:rPr>
  </w:style>
  <w:style w:type="paragraph" w:styleId="869">
    <w:name w:val="block__block-3c"/>
    <w:basedOn w:val="844"/>
    <w:next w:val="869"/>
    <w:link w:val="844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870" w:default="1">
    <w:name w:val="Default Paragraph Font"/>
    <w:uiPriority w:val="1"/>
    <w:semiHidden/>
    <w:unhideWhenUsed/>
  </w:style>
  <w:style w:type="numbering" w:styleId="871" w:default="1">
    <w:name w:val="No List"/>
    <w:uiPriority w:val="99"/>
    <w:semiHidden/>
    <w:unhideWhenUsed/>
  </w:style>
  <w:style w:type="table" w:styleId="8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nspd.gov.ru/" TargetMode="External"/><Relationship Id="rId11" Type="http://schemas.openxmlformats.org/officeDocument/2006/relationships/hyperlink" Target="https://rosreestr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 Мария Сергеевна</dc:creator>
  <cp:revision>232</cp:revision>
  <dcterms:created xsi:type="dcterms:W3CDTF">2023-01-18T04:28:00Z</dcterms:created>
  <dcterms:modified xsi:type="dcterms:W3CDTF">2025-01-13T04:21:08Z</dcterms:modified>
  <cp:version>1048576</cp:version>
</cp:coreProperties>
</file>