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FAC" w:rsidRDefault="00B467C3">
      <w:pPr>
        <w:spacing w:after="0" w:line="240" w:lineRule="auto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095500" cy="771525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2095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FAC" w:rsidRDefault="00B467C3">
      <w:pPr>
        <w:spacing w:after="0" w:line="240" w:lineRule="auto"/>
        <w:ind w:firstLine="709"/>
        <w:jc w:val="right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  <w:lang w:eastAsia="sk-SK"/>
        </w:rPr>
        <w:t>Пресс-релиз</w:t>
      </w:r>
    </w:p>
    <w:p w:rsidR="00B45FAC" w:rsidRDefault="00B45FAC">
      <w:pPr>
        <w:ind w:left="-426" w:firstLine="567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B45FAC" w:rsidRDefault="00B467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906"/>
        </w:tabs>
        <w:spacing w:after="0" w:line="480" w:lineRule="atLeast"/>
        <w:jc w:val="center"/>
        <w:rPr>
          <w:rFonts w:ascii="Tinos" w:hAnsi="Tinos" w:cs="Tinos"/>
          <w:color w:val="000000" w:themeColor="text1"/>
          <w:spacing w:val="1"/>
          <w:sz w:val="24"/>
          <w:szCs w:val="24"/>
        </w:rPr>
      </w:pPr>
      <w:r>
        <w:rPr>
          <w:rFonts w:ascii="Tinos" w:eastAsia="Tinos" w:hAnsi="Tinos" w:cs="Tinos"/>
          <w:b/>
          <w:bCs/>
          <w:color w:val="000000" w:themeColor="text1"/>
          <w:spacing w:val="1"/>
          <w:sz w:val="24"/>
          <w:szCs w:val="24"/>
        </w:rPr>
        <w:t>Собственникам недвижимости рекомендовано заранее узнать о проведении комплексных кадастровых работ на участках</w:t>
      </w:r>
    </w:p>
    <w:p w:rsidR="00B45FAC" w:rsidRDefault="00B45FAC">
      <w:pPr>
        <w:jc w:val="both"/>
        <w:rPr>
          <w:rFonts w:ascii="Tinos" w:hAnsi="Tinos" w:cs="Tinos"/>
          <w:color w:val="000000" w:themeColor="text1"/>
          <w:sz w:val="24"/>
          <w:szCs w:val="24"/>
        </w:rPr>
      </w:pPr>
      <w:bookmarkStart w:id="0" w:name="_GoBack"/>
      <w:bookmarkEnd w:id="0"/>
    </w:p>
    <w:p w:rsidR="00B45FAC" w:rsidRDefault="00B467C3">
      <w:pPr>
        <w:ind w:firstLine="708"/>
        <w:jc w:val="both"/>
        <w:rPr>
          <w:rFonts w:ascii="Tinos" w:eastAsia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В Росреестре Хакасии под председательством руководителя Управления Ольги Анисимовой состоялось заседание коллеги совместно с Общественным советом, действующим при Управлении. </w:t>
      </w:r>
    </w:p>
    <w:p w:rsidR="00B45FAC" w:rsidRDefault="00B467C3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В мероприятии, в том числе, приняли участие руководство ведомства и филиала ППК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«Роскадастр» по Республике Хакасия. Основной темой обсуждения стало проведение комплексных кадастровых работ (ККР) в регионе.</w:t>
      </w:r>
    </w:p>
    <w:p w:rsidR="00B45FAC" w:rsidRDefault="00B467C3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Заместитель руководителя Ольга Найдёшкина, курирующая направление,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отметила, что проведение комплексных кадастровых работ находитс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я в особом фокусе внимания Росреестра, так как является наиболее эффективным механизмом для наполнения ЕГРН точными сведениями.  Она представила промежуточные результаты выполнения ККР в Хакасии и обозначила приоритетные задачи работы до конца 2025 года.</w:t>
      </w:r>
    </w:p>
    <w:p w:rsidR="00B45FAC" w:rsidRDefault="00B467C3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Т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ак, в регионе в этом году впервые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проводятся ККР федерального значения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. 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Двумя годами ранее ККР проводились только за счет местного бюджета с охватом 756 объектов недвижимости. В 2025 году масштаб работ вырос и охватил 26 кадастровых кварталов с 20,5 тысяч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ами объектов недвижимости на них. По поручению Президента РФ основной акцент при выполнении ККР делается на опорные населенные пункты.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</w:t>
      </w:r>
    </w:p>
    <w:p w:rsidR="00B45FAC" w:rsidRDefault="00B467C3">
      <w:pPr>
        <w:ind w:firstLine="708"/>
        <w:jc w:val="both"/>
        <w:rPr>
          <w:rFonts w:ascii="Tinos" w:hAnsi="Tinos" w:cs="Tinos"/>
          <w:b/>
          <w:bCs/>
          <w:i/>
          <w:color w:val="000000" w:themeColor="text1"/>
          <w:sz w:val="24"/>
          <w:szCs w:val="24"/>
        </w:rPr>
      </w:pP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«Выбор кадастровых кварталов проводился по определенным критериям. Например, под ККР попали земельные участки без границ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, имеющие массовые реестровые ошибки, а также те, которые имеют инвестиционную привлекательность для республики, в том числе, с целью предоставления участков многодетным семьям. С начала года уже проведена большая работа с органами местного самоуправления,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 xml:space="preserve"> исполнителями кадастровых работ – филиалами Роскадастра Хакасии и Красноярского края. Уже успешно завершена работа по верификации данных, проведена аэрофотосъёмка, геодезические работы, оцифровка, отрисовка границ кадастровых кварталов, сформированы карта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-планы территорий для последующего внесения сведений в ЕГРН. В результате выполнения ККР до конца года планируется внести в ЕГРН сведения о границах в отношении 20,5 тыс. объектов»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, – отметила</w:t>
      </w:r>
      <w:r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 Ольга Найдёшкина. </w:t>
      </w:r>
    </w:p>
    <w:p w:rsidR="00B45FAC" w:rsidRDefault="00B467C3">
      <w:pPr>
        <w:ind w:firstLine="708"/>
        <w:jc w:val="both"/>
        <w:rPr>
          <w:rFonts w:ascii="Tinos" w:eastAsia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Благодаря проведению ККР  жители Хакасии существенно экономят семейный бюджет, так как у собственников нет необходимости платить за проведение кадастровых работ по уточнению границ участков или исправлению реестровых ошибок в уже имеющихся межевых планах.</w:t>
      </w:r>
    </w:p>
    <w:p w:rsidR="00B45FAC" w:rsidRDefault="00B467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Председатель Общественного совета при Управлении Александр Чуркин отметил профессиональный подход на всех стадиях проведения комплексных кадастровых работ в регионе, что делает взаимодействие органов госвласти с правообладателями более конструктивным и ком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фортным.</w:t>
      </w:r>
    </w:p>
    <w:p w:rsidR="00B45FAC" w:rsidRDefault="00B45FAC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B45FAC" w:rsidRDefault="00B467C3">
      <w:pPr>
        <w:ind w:firstLine="708"/>
        <w:jc w:val="both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lastRenderedPageBreak/>
        <w:t>«Мы заранее уведомляем жителей республики о проведении на территории их объектов недвижимости комплексных кадастровых работ. В основном, за счет направления информации в личный кабинет на Госуслугах. Это де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лается для понимания собственниками важности проведения таких работ и беспрепятственного доступа на участки. Как правило, люди спокойно реагируют на полученную информацию, а в случае возникновения вопросов звонят либо в Роскадастр или в Росреестр Хакасии»,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– отметила директор филиала ППК «Роскадастр» по РХ </w:t>
      </w:r>
      <w:r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Вера Старунская.</w:t>
      </w:r>
    </w:p>
    <w:p w:rsidR="00B45FAC" w:rsidRDefault="00B467C3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В результате комплексных кадастровых работ уточняются границы земельных участков, зданий и сооружений, исправляются реестровые ошибки, формируются земельные участки общего пользования. </w:t>
      </w:r>
      <w:r>
        <w:rPr>
          <w:rFonts w:ascii="Tinos" w:eastAsia="Tinos" w:hAnsi="Tinos" w:cs="Tinos"/>
          <w:color w:val="000000" w:themeColor="text1"/>
          <w:sz w:val="24"/>
          <w:szCs w:val="24"/>
          <w:highlight w:val="white"/>
        </w:rPr>
        <w:t>Пр</w:t>
      </w:r>
      <w:r>
        <w:rPr>
          <w:rFonts w:ascii="Tinos" w:eastAsia="Tinos" w:hAnsi="Tinos" w:cs="Tinos"/>
          <w:color w:val="000000" w:themeColor="text1"/>
          <w:sz w:val="24"/>
          <w:szCs w:val="24"/>
          <w:highlight w:val="white"/>
        </w:rPr>
        <w:t>оведение ККР позволяет, в том числе, сократить количество земельных споров между соседями смежных участков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.</w:t>
      </w:r>
    </w:p>
    <w:p w:rsidR="00B45FAC" w:rsidRDefault="00B467C3">
      <w:pPr>
        <w:ind w:firstLine="708"/>
        <w:jc w:val="both"/>
        <w:rPr>
          <w:rFonts w:ascii="Tinos" w:eastAsia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 xml:space="preserve">«Жителям республики, которые планируют установление границ своего участка, рекомендовано заранее уточнить о проведении комплексных кадастровых работ в районе. Они абсолютно 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  <w:highlight w:val="white"/>
        </w:rPr>
        <w:t>бесплатны для собственников, чем работы, выполняемые в индивидуальном порядке. Уточ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  <w:highlight w:val="white"/>
        </w:rPr>
        <w:t>нить о проведении ККР можно в органе местного самоуправления по месту нахождения объекта. Если выяснится, что работы уже запланированы, то у граждан нет необходимости заказывать их в частном порядке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»,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– добавила </w:t>
      </w:r>
      <w:r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Ольга Найдёшкина. </w:t>
      </w:r>
    </w:p>
    <w:p w:rsidR="00B45FAC" w:rsidRDefault="00B467C3">
      <w:pPr>
        <w:ind w:firstLine="708"/>
        <w:jc w:val="both"/>
        <w:rPr>
          <w:rFonts w:ascii="Tinos" w:eastAsia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Она также отметила о про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гнозировании возможных рисков неисполнения любого из этапов проведения работ, о важности соблюдения сроков и эффективном проведении ККР. 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>«Качественное проведение ККР в 2025 году даст благоприятный старт для работ в 2026 году, когда их количество вырастет в</w:t>
      </w:r>
      <w:r>
        <w:rPr>
          <w:rFonts w:ascii="Tinos" w:eastAsia="Tinos" w:hAnsi="Tinos" w:cs="Tinos"/>
          <w:i/>
          <w:iCs/>
          <w:color w:val="000000" w:themeColor="text1"/>
          <w:sz w:val="24"/>
          <w:szCs w:val="24"/>
        </w:rPr>
        <w:t xml:space="preserve"> сотни раз. На следующий год предстоит охватить уже 381 кадастровый квартал и более 105 тысяч объектов недвижимости», –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пояснила</w:t>
      </w:r>
      <w:r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 Ольга Найдешкина.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По мнению членов Общественного совета важно уже сегодня выстраивать конструктивный диалог с местными властями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, информируя о совместной работе. </w:t>
      </w:r>
    </w:p>
    <w:p w:rsidR="00B45FAC" w:rsidRDefault="00B467C3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Таким образом, 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>по результатам заседания коллегии принято решение о проведении совместных совещаний при содействии членов Общественного совета на площадках органов местного самоуправления, на чьих территориях пройдут ККР в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2026 году, а также об информировании правообладателей объектов недвижимости о преимуществах проведения комплексных кадастровых работ. </w:t>
      </w:r>
    </w:p>
    <w:p w:rsidR="00B45FAC" w:rsidRDefault="00B45F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 w:themeColor="text1"/>
          <w:szCs w:val="24"/>
        </w:rPr>
      </w:pPr>
    </w:p>
    <w:p w:rsidR="00B45FAC" w:rsidRDefault="00B45F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 w:themeColor="text1"/>
          <w:szCs w:val="24"/>
        </w:rPr>
      </w:pPr>
    </w:p>
    <w:p w:rsidR="00B45FAC" w:rsidRDefault="00B45FAC">
      <w:pPr>
        <w:spacing w:after="0" w:line="276" w:lineRule="auto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B45FAC" w:rsidRDefault="00B45F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B45FAC" w:rsidRDefault="00B45F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B45FAC" w:rsidRDefault="00B467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nos" w:hAnsi="Tinos" w:cs="Tinos"/>
          <w:color w:val="000000" w:themeColor="text1"/>
          <w:sz w:val="16"/>
          <w:szCs w:val="16"/>
        </w:rPr>
      </w:pPr>
      <w:r>
        <w:rPr>
          <w:rFonts w:ascii="Tinos" w:eastAsia="Tinos" w:hAnsi="Tinos" w:cs="Tinos"/>
          <w:color w:val="000000" w:themeColor="text1"/>
          <w:sz w:val="16"/>
          <w:szCs w:val="16"/>
          <w:lang w:eastAsia="sk-SK"/>
        </w:rPr>
        <w:t>Контакты для СМИ</w:t>
      </w:r>
    </w:p>
    <w:p w:rsidR="00B45FAC" w:rsidRDefault="00B467C3">
      <w:pPr>
        <w:spacing w:after="0" w:line="240" w:lineRule="auto"/>
        <w:jc w:val="both"/>
        <w:rPr>
          <w:rFonts w:ascii="Tinos" w:hAnsi="Tinos" w:cs="Tinos"/>
          <w:color w:val="000000" w:themeColor="text1"/>
          <w:sz w:val="16"/>
          <w:szCs w:val="16"/>
          <w:shd w:val="clear" w:color="auto" w:fill="FFFFFF"/>
        </w:rPr>
      </w:pPr>
      <w:r>
        <w:rPr>
          <w:rFonts w:ascii="Tinos" w:eastAsia="Tinos" w:hAnsi="Tinos" w:cs="Tinos"/>
          <w:color w:val="000000" w:themeColor="text1"/>
          <w:sz w:val="16"/>
          <w:szCs w:val="16"/>
        </w:rPr>
        <w:t>Пресс-служба Росреестра и Роскадастра РХ</w:t>
      </w:r>
    </w:p>
    <w:p w:rsidR="00B45FAC" w:rsidRDefault="00B467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jc w:val="both"/>
        <w:rPr>
          <w:rFonts w:ascii="Tinos" w:hAnsi="Tinos" w:cs="Tinos"/>
          <w:color w:val="000000" w:themeColor="text1"/>
          <w:sz w:val="16"/>
          <w:szCs w:val="16"/>
        </w:rPr>
      </w:pPr>
      <w:r>
        <w:rPr>
          <w:rFonts w:ascii="Tinos" w:eastAsia="Tinos" w:hAnsi="Tinos" w:cs="Tinos"/>
          <w:color w:val="000000" w:themeColor="text1"/>
          <w:sz w:val="16"/>
          <w:szCs w:val="16"/>
        </w:rPr>
        <w:t>Тел. 23-99-88, 8(983)273-7509</w:t>
      </w:r>
    </w:p>
    <w:sectPr w:rsidR="00B45FA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7C3" w:rsidRDefault="00B467C3">
      <w:pPr>
        <w:spacing w:after="0" w:line="240" w:lineRule="auto"/>
      </w:pPr>
      <w:r>
        <w:separator/>
      </w:r>
    </w:p>
  </w:endnote>
  <w:endnote w:type="continuationSeparator" w:id="0">
    <w:p w:rsidR="00B467C3" w:rsidRDefault="00B4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7C3" w:rsidRDefault="00B467C3">
      <w:pPr>
        <w:spacing w:after="0" w:line="240" w:lineRule="auto"/>
      </w:pPr>
      <w:r>
        <w:separator/>
      </w:r>
    </w:p>
  </w:footnote>
  <w:footnote w:type="continuationSeparator" w:id="0">
    <w:p w:rsidR="00B467C3" w:rsidRDefault="00B46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30CE"/>
    <w:multiLevelType w:val="hybridMultilevel"/>
    <w:tmpl w:val="256060A8"/>
    <w:lvl w:ilvl="0" w:tplc="745ECD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A0E63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05E24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9085C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A826D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6A261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A9014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DEE36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874CC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41C3BB8"/>
    <w:multiLevelType w:val="hybridMultilevel"/>
    <w:tmpl w:val="A66280C0"/>
    <w:lvl w:ilvl="0" w:tplc="E3FA7A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D4436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 w:tplc="E6C80F1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 w:tplc="378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 w:tplc="1402057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 w:tplc="FE6E5B5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 w:tplc="9D0EB5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 w:tplc="9790197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 w:tplc="DBB096E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1E7073D4"/>
    <w:multiLevelType w:val="hybridMultilevel"/>
    <w:tmpl w:val="AEE4E0B2"/>
    <w:lvl w:ilvl="0" w:tplc="C9241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3A075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 w:tplc="485AFE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 w:tplc="D1B24F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 w:tplc="ADA66A8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 w:tplc="F6C488D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 w:tplc="4642A8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 w:tplc="C418608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 w:tplc="3AB457E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23C5785C"/>
    <w:multiLevelType w:val="hybridMultilevel"/>
    <w:tmpl w:val="5E86B696"/>
    <w:lvl w:ilvl="0" w:tplc="4D4E055A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DF82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7050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623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08E3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3013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36B1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0A66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BEBB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9342D6B"/>
    <w:multiLevelType w:val="hybridMultilevel"/>
    <w:tmpl w:val="33A49BD8"/>
    <w:lvl w:ilvl="0" w:tplc="1DC461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93CFB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B8847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A0A42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BD8BB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DE02D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4EC23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B3A53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82652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25E69EB"/>
    <w:multiLevelType w:val="hybridMultilevel"/>
    <w:tmpl w:val="32F0A260"/>
    <w:lvl w:ilvl="0" w:tplc="DE4235B8">
      <w:start w:val="1"/>
      <w:numFmt w:val="decimal"/>
      <w:lvlText w:val="%1."/>
      <w:lvlJc w:val="left"/>
      <w:pPr>
        <w:ind w:left="720" w:hanging="360"/>
      </w:pPr>
    </w:lvl>
    <w:lvl w:ilvl="1" w:tplc="37E01C0E">
      <w:start w:val="1"/>
      <w:numFmt w:val="lowerLetter"/>
      <w:lvlText w:val="%2."/>
      <w:lvlJc w:val="left"/>
      <w:pPr>
        <w:ind w:left="1440" w:hanging="360"/>
      </w:pPr>
    </w:lvl>
    <w:lvl w:ilvl="2" w:tplc="C5B2B116">
      <w:start w:val="1"/>
      <w:numFmt w:val="lowerRoman"/>
      <w:lvlText w:val="%3."/>
      <w:lvlJc w:val="right"/>
      <w:pPr>
        <w:ind w:left="2160" w:hanging="180"/>
      </w:pPr>
    </w:lvl>
    <w:lvl w:ilvl="3" w:tplc="4EE66582">
      <w:start w:val="1"/>
      <w:numFmt w:val="decimal"/>
      <w:lvlText w:val="%4."/>
      <w:lvlJc w:val="left"/>
      <w:pPr>
        <w:ind w:left="2880" w:hanging="360"/>
      </w:pPr>
    </w:lvl>
    <w:lvl w:ilvl="4" w:tplc="A3DC9898">
      <w:start w:val="1"/>
      <w:numFmt w:val="lowerLetter"/>
      <w:lvlText w:val="%5."/>
      <w:lvlJc w:val="left"/>
      <w:pPr>
        <w:ind w:left="3600" w:hanging="360"/>
      </w:pPr>
    </w:lvl>
    <w:lvl w:ilvl="5" w:tplc="AC886112">
      <w:start w:val="1"/>
      <w:numFmt w:val="lowerRoman"/>
      <w:lvlText w:val="%6."/>
      <w:lvlJc w:val="right"/>
      <w:pPr>
        <w:ind w:left="4320" w:hanging="180"/>
      </w:pPr>
    </w:lvl>
    <w:lvl w:ilvl="6" w:tplc="44C0CB32">
      <w:start w:val="1"/>
      <w:numFmt w:val="decimal"/>
      <w:lvlText w:val="%7."/>
      <w:lvlJc w:val="left"/>
      <w:pPr>
        <w:ind w:left="5040" w:hanging="360"/>
      </w:pPr>
    </w:lvl>
    <w:lvl w:ilvl="7" w:tplc="D9A06168">
      <w:start w:val="1"/>
      <w:numFmt w:val="lowerLetter"/>
      <w:lvlText w:val="%8."/>
      <w:lvlJc w:val="left"/>
      <w:pPr>
        <w:ind w:left="5760" w:hanging="360"/>
      </w:pPr>
    </w:lvl>
    <w:lvl w:ilvl="8" w:tplc="32F89F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AC"/>
    <w:rsid w:val="00B45FAC"/>
    <w:rsid w:val="00B467C3"/>
    <w:rsid w:val="00D4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7FD994-E3EA-4A04-B0D1-0EC959F4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spacing w:after="200" w:line="276" w:lineRule="auto"/>
      <w:ind w:left="720"/>
      <w:contextualSpacing/>
    </w:pPr>
  </w:style>
  <w:style w:type="paragraph" w:styleId="a5">
    <w:name w:val="No Spacing"/>
    <w:link w:val="a6"/>
    <w:uiPriority w:val="1"/>
    <w:qFormat/>
    <w:rPr>
      <w:rFonts w:eastAsia="Times New Roman"/>
      <w:sz w:val="22"/>
      <w:szCs w:val="22"/>
    </w:r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0"/>
    <w:next w:val="a0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link w:val="ad"/>
    <w:uiPriority w:val="99"/>
  </w:style>
  <w:style w:type="paragraph" w:styleId="af">
    <w:name w:val="footer"/>
    <w:basedOn w:val="a0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2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footnote text"/>
    <w:basedOn w:val="a0"/>
    <w:link w:val="af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0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0"/>
    <w:next w:val="a0"/>
    <w:uiPriority w:val="99"/>
    <w:unhideWhenUsed/>
    <w:pPr>
      <w:spacing w:after="0"/>
    </w:pPr>
  </w:style>
  <w:style w:type="paragraph" w:styleId="afc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Balloon Text"/>
    <w:basedOn w:val="a0"/>
    <w:link w:val="afe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rPr>
      <w:rFonts w:eastAsia="Times New Roman"/>
      <w:sz w:val="22"/>
      <w:szCs w:val="22"/>
      <w:lang w:eastAsia="ru-RU" w:bidi="ar-SA"/>
    </w:rPr>
  </w:style>
  <w:style w:type="character" w:styleId="aff">
    <w:name w:val="Strong"/>
    <w:uiPriority w:val="22"/>
    <w:qFormat/>
    <w:rPr>
      <w:b/>
      <w:bCs/>
    </w:rPr>
  </w:style>
  <w:style w:type="character" w:styleId="aff0">
    <w:name w:val="Emphasis"/>
    <w:uiPriority w:val="20"/>
    <w:qFormat/>
    <w:rPr>
      <w:i/>
      <w:iCs/>
    </w:rPr>
  </w:style>
  <w:style w:type="paragraph" w:styleId="a">
    <w:name w:val="List Bullet"/>
    <w:basedOn w:val="a0"/>
    <w:uiPriority w:val="99"/>
    <w:unhideWhenUsed/>
    <w:pPr>
      <w:numPr>
        <w:numId w:val="4"/>
      </w:numPr>
      <w:contextualSpacing/>
    </w:pPr>
  </w:style>
  <w:style w:type="character" w:customStyle="1" w:styleId="fontstyle0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  <w:lang w:eastAsia="en-US"/>
    </w:rPr>
  </w:style>
  <w:style w:type="character" w:customStyle="1" w:styleId="aff1">
    <w:name w:val="Основной текст_"/>
    <w:link w:val="2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0"/>
    <w:link w:val="aff1"/>
    <w:pPr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6">
    <w:name w:val="Основной текст (2)_"/>
    <w:link w:val="27"/>
    <w:rPr>
      <w:sz w:val="19"/>
      <w:szCs w:val="19"/>
      <w:shd w:val="clear" w:color="auto" w:fill="FFFFFF"/>
    </w:rPr>
  </w:style>
  <w:style w:type="character" w:customStyle="1" w:styleId="33">
    <w:name w:val="Основной текст (3)_"/>
    <w:link w:val="34"/>
    <w:rPr>
      <w:sz w:val="22"/>
      <w:szCs w:val="22"/>
      <w:shd w:val="clear" w:color="auto" w:fill="FFFFFF"/>
    </w:rPr>
  </w:style>
  <w:style w:type="character" w:customStyle="1" w:styleId="43">
    <w:name w:val="Основной текст (4)_"/>
    <w:link w:val="44"/>
    <w:rPr>
      <w:shd w:val="clear" w:color="auto" w:fill="FFFFFF"/>
    </w:rPr>
  </w:style>
  <w:style w:type="paragraph" w:customStyle="1" w:styleId="27">
    <w:name w:val="Основной текст (2)"/>
    <w:basedOn w:val="a0"/>
    <w:link w:val="26"/>
    <w:pPr>
      <w:widowControl w:val="0"/>
      <w:shd w:val="clear" w:color="auto" w:fill="FFFFFF"/>
      <w:spacing w:after="0" w:line="364" w:lineRule="exact"/>
    </w:pPr>
    <w:rPr>
      <w:sz w:val="19"/>
      <w:szCs w:val="19"/>
      <w:lang w:eastAsia="ru-RU"/>
    </w:rPr>
  </w:style>
  <w:style w:type="paragraph" w:customStyle="1" w:styleId="34">
    <w:name w:val="Основной текст (3)"/>
    <w:basedOn w:val="a0"/>
    <w:link w:val="33"/>
    <w:pPr>
      <w:widowControl w:val="0"/>
      <w:shd w:val="clear" w:color="auto" w:fill="FFFFFF"/>
      <w:spacing w:after="0" w:line="240" w:lineRule="atLeast"/>
    </w:pPr>
    <w:rPr>
      <w:lang w:eastAsia="ru-RU"/>
    </w:rPr>
  </w:style>
  <w:style w:type="paragraph" w:customStyle="1" w:styleId="44">
    <w:name w:val="Основной текст (4)"/>
    <w:basedOn w:val="a0"/>
    <w:link w:val="43"/>
    <w:pPr>
      <w:widowControl w:val="0"/>
      <w:shd w:val="clear" w:color="auto" w:fill="FFFFFF"/>
      <w:spacing w:after="0" w:line="240" w:lineRule="atLeast"/>
    </w:pPr>
    <w:rPr>
      <w:sz w:val="20"/>
      <w:szCs w:val="20"/>
      <w:lang w:eastAsia="ru-RU"/>
    </w:rPr>
  </w:style>
  <w:style w:type="paragraph" w:customStyle="1" w:styleId="blockblock-3c">
    <w:name w:val="block__block-3c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lastModifiedBy>User</cp:lastModifiedBy>
  <cp:revision>2</cp:revision>
  <dcterms:created xsi:type="dcterms:W3CDTF">2025-06-26T03:41:00Z</dcterms:created>
  <dcterms:modified xsi:type="dcterms:W3CDTF">2025-06-26T03:41:00Z</dcterms:modified>
  <cp:version>1048576</cp:version>
</cp:coreProperties>
</file>