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 w:val="0"/>
        <w:jc w:val="both"/>
        <w:keepNext/>
        <w:spacing w:before="0" w:after="0" w:line="283" w:lineRule="atLeast"/>
        <w:widowControl/>
        <w:rPr>
          <w:rFonts w:ascii="Tinos" w:hAnsi="Tinos" w:cs="Tinos"/>
          <w:b w:val="0"/>
          <w:bCs w:val="0"/>
          <w:color w:val="000000" w:themeColor="text1"/>
          <w:sz w:val="26"/>
          <w:szCs w:val="26"/>
        </w:rPr>
        <w:suppressLineNumbers w:val="0"/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95500" cy="77152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9550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65.00pt;height:60.7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</w:rPr>
      </w:r>
    </w:p>
    <w:p>
      <w:pPr>
        <w:contextualSpacing w:val="0"/>
        <w:ind w:firstLine="709"/>
        <w:jc w:val="both"/>
        <w:keepNext/>
        <w:spacing w:before="0" w:after="0" w:line="283" w:lineRule="atLeast"/>
        <w:widowControl/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  <w:lang w:eastAsia="sk-SK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firstLine="709"/>
        <w:jc w:val="right"/>
        <w:keepNext/>
        <w:spacing w:before="0" w:after="0" w:line="283" w:lineRule="atLeast"/>
        <w:widowControl/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  <w:t xml:space="preserve">Интервью</w:t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both"/>
        <w:keepNext/>
        <w:spacing w:before="0" w:line="283" w:lineRule="atLeast"/>
        <w:shd w:val="clear" w:color="ffffff" w:fill="ffffff"/>
        <w:widowControl/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left="0" w:right="0" w:firstLine="708"/>
        <w:jc w:val="center"/>
        <w:keepNext/>
        <w:spacing w:before="0" w:line="283" w:lineRule="atLeast"/>
        <w:shd w:val="clear" w:color="ffffff" w:fill="ffffff"/>
        <w:widowControl/>
        <w:rPr>
          <w:rFonts w:ascii="Tinos" w:hAnsi="Tinos" w:cs="Tinos"/>
          <w:b/>
          <w:bCs w:val="0"/>
          <w:i w:val="0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  <w:highlight w:val="none"/>
        </w:rPr>
        <w:t xml:space="preserve">Амнистия на гараж</w:t>
      </w: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left="0" w:right="0" w:firstLine="708"/>
        <w:jc w:val="center"/>
        <w:keepNext/>
        <w:spacing w:before="0" w:line="283" w:lineRule="atLeast"/>
        <w:shd w:val="clear" w:color="ffffff" w:fill="ffffff"/>
        <w:widowControl/>
        <w:rPr>
          <w:rFonts w:ascii="Tinos" w:hAnsi="Tinos" w:cs="Tinos"/>
          <w:b/>
          <w:bCs/>
          <w:i w:val="0"/>
          <w:iCs w:val="0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 w:val="0"/>
          <w:bCs w:val="0"/>
          <w:i/>
          <w:iCs/>
          <w:color w:val="000000" w:themeColor="text1"/>
          <w:sz w:val="26"/>
          <w:szCs w:val="26"/>
          <w:highlight w:val="none"/>
        </w:rPr>
        <w:t xml:space="preserve">За четыре года «гаражной амнистии» автолюбители Хакасии оформили более двух тысяч объектов</w:t>
      </w:r>
      <w:r>
        <w:rPr>
          <w:rFonts w:ascii="Tinos" w:hAnsi="Tinos" w:cs="Tinos"/>
          <w:b/>
          <w:bCs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/>
          <w:bCs/>
          <w:i w:val="0"/>
          <w:iCs w:val="0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left="0" w:right="0" w:firstLine="708"/>
        <w:jc w:val="both"/>
        <w:keepNext/>
        <w:spacing w:before="0" w:line="283" w:lineRule="atLeast"/>
        <w:shd w:val="clear" w:color="ffffff" w:fill="ffffff"/>
        <w:widowControl/>
        <w:rPr>
          <w:rFonts w:ascii="Tinos" w:hAnsi="Tinos" w:cs="Tinos"/>
          <w:b w:val="0"/>
          <w:bCs w:val="0"/>
          <w:i w:val="0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 w:val="0"/>
          <w:bCs w:val="0"/>
          <w:i/>
          <w:iCs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</w:rPr>
        <w:t xml:space="preserve">С начала действия закона о «гаражной амнистии» жители Хакасии зарегистрировали более 2 тысяч объектов. 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</w:rPr>
        <w:t xml:space="preserve">Оформить по упрощённой схеме незарегистрированный гараж и землю под ним можно до 1 сентября 2026 года. Как это сделать рассказали заместитель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</w:rPr>
        <w:t xml:space="preserve"> руководителя Росреестра Хакасии 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Наталья Ивановна Асочакова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</w:rPr>
        <w:t xml:space="preserve"> и 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  <w:t xml:space="preserve">заместитель начальника департамента градостроительства, архитектуры и землеустройства администрации г. Абакана по земельным ресурсам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</w:t>
      </w: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</w:rPr>
        <w:t xml:space="preserve">Юлия Дмитриевна Каузова</w:t>
      </w: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6"/>
          <w:szCs w:val="26"/>
        </w:rPr>
        <w:t xml:space="preserve">.</w:t>
      </w:r>
      <w:r>
        <w:rPr>
          <w:rFonts w:ascii="Tinos" w:hAnsi="Tinos" w:eastAsia="Tinos" w:cs="Tinos"/>
          <w:b w:val="0"/>
          <w:bCs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pStyle w:val="708"/>
        <w:numPr>
          <w:ilvl w:val="0"/>
          <w:numId w:val="7"/>
        </w:numPr>
        <w:contextualSpacing w:val="0"/>
        <w:ind w:left="0" w:right="0" w:firstLine="0"/>
        <w:jc w:val="both"/>
        <w:keepNext/>
        <w:spacing w:before="0" w:line="283" w:lineRule="atLeast"/>
        <w:shd w:val="clear" w:color="ffffff" w:fill="ffffff"/>
        <w:widowControl/>
        <w:rPr>
          <w:rFonts w:ascii="Tinos" w:hAnsi="Tinos" w:eastAsia="Tinos" w:cs="Tinos"/>
          <w:b/>
          <w:bCs w:val="0"/>
          <w:i w:val="0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  <w:highlight w:val="none"/>
        </w:rPr>
        <w:t xml:space="preserve">Сколько гаражей в республике подпадает под амнистию и какие преимущества появляются у пользователей после их оформления в собственность?</w:t>
      </w:r>
      <w:r>
        <w:rPr>
          <w:rFonts w:ascii="Tinos" w:hAnsi="Tinos" w:cs="Tinos"/>
          <w:b/>
          <w:bCs/>
          <w:i w:val="0"/>
          <w:color w:val="000000" w:themeColor="text1"/>
          <w:sz w:val="26"/>
          <w:szCs w:val="26"/>
        </w:rPr>
      </w:r>
    </w:p>
    <w:p>
      <w:pPr>
        <w:contextualSpacing w:val="0"/>
        <w:ind w:left="0" w:right="0" w:firstLine="0"/>
        <w:jc w:val="both"/>
        <w:keepNext/>
        <w:spacing w:before="0" w:line="283" w:lineRule="atLeast"/>
        <w:shd w:val="clear" w:color="ffffff" w:fill="ffffff"/>
        <w:widowControl/>
        <w:rPr>
          <w:rFonts w:ascii="Tinos" w:hAnsi="Tinos" w:cs="Tinos"/>
          <w:b/>
          <w:bCs w:val="0"/>
          <w:i w:val="0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  <w:highlight w:val="none"/>
        </w:rPr>
        <w:t xml:space="preserve">Н.И.: </w:t>
      </w:r>
      <w:r>
        <w:rPr>
          <w:rFonts w:ascii="Tinos" w:hAnsi="Tinos" w:eastAsia="Tinos" w:cs="Tinos"/>
          <w:b w:val="0"/>
          <w:bCs w:val="0"/>
          <w:i/>
          <w:color w:val="000000" w:themeColor="text1"/>
          <w:sz w:val="26"/>
          <w:szCs w:val="26"/>
        </w:rPr>
        <w:t xml:space="preserve">В сентябре исполнится четыре года со дня вступления в силу закона о «гаражной </w:t>
      </w:r>
      <w:r>
        <w:rPr>
          <w:rFonts w:ascii="Tinos" w:hAnsi="Tinos" w:eastAsia="Tinos" w:cs="Tinos"/>
          <w:b w:val="0"/>
          <w:bCs w:val="0"/>
          <w:i/>
          <w:color w:val="000000" w:themeColor="text1"/>
          <w:sz w:val="26"/>
          <w:szCs w:val="26"/>
        </w:rPr>
        <w:t xml:space="preserve"> амнистии». Он стал важной мерой поддержки граждан, которые получили возможность оформить по упрощённой схеме незарегистрированный капитальный гараж и землю под ним. В регионе под закон подпадает более 20 тысяч объекто</w:t>
      </w:r>
      <w:r>
        <w:rPr>
          <w:rFonts w:ascii="Tinos" w:hAnsi="Tinos" w:eastAsia="Tinos" w:cs="Tinos"/>
          <w:b w:val="0"/>
          <w:bCs w:val="0"/>
          <w:i/>
          <w:color w:val="000000" w:themeColor="text1"/>
          <w:sz w:val="26"/>
          <w:szCs w:val="26"/>
        </w:rPr>
        <w:t xml:space="preserve">в. На текущий момент таким образом</w:t>
      </w:r>
      <w:r>
        <w:rPr>
          <w:rFonts w:ascii="Tinos" w:hAnsi="Tinos" w:eastAsia="Tinos" w:cs="Tinos"/>
          <w:b w:val="0"/>
          <w:bCs w:val="0"/>
          <w:i/>
          <w:color w:val="000000" w:themeColor="text1"/>
          <w:sz w:val="26"/>
          <w:szCs w:val="26"/>
        </w:rPr>
        <w:t xml:space="preserve"> оформлено 6</w:t>
      </w:r>
      <w:r>
        <w:rPr>
          <w:rFonts w:ascii="Tinos" w:hAnsi="Tinos" w:eastAsia="Tinos" w:cs="Tinos"/>
          <w:b w:val="0"/>
          <w:bCs w:val="0"/>
          <w:i/>
          <w:color w:val="000000" w:themeColor="text1"/>
          <w:sz w:val="26"/>
          <w:szCs w:val="26"/>
        </w:rPr>
        <w:t xml:space="preserve">13 гаражей и 1578 земельных участков под ними площадью 42 тыс. кв.м. Зарегистрированное право собственности на объект защищает права его владельца и позволяет распоряжаться имуществом: его можно продать, передать по наследству, подарить или сдать в аренду.</w:t>
      </w:r>
      <w:r>
        <w:rPr>
          <w:rFonts w:ascii="Tinos" w:hAnsi="Tinos" w:cs="Tinos"/>
          <w:b/>
          <w:bCs/>
          <w:i w:val="0"/>
          <w:color w:val="000000" w:themeColor="text1"/>
          <w:sz w:val="26"/>
          <w:szCs w:val="26"/>
        </w:rPr>
      </w:r>
      <w:r/>
    </w:p>
    <w:p>
      <w:pPr>
        <w:pStyle w:val="708"/>
        <w:numPr>
          <w:ilvl w:val="0"/>
          <w:numId w:val="7"/>
        </w:numPr>
        <w:contextualSpacing w:val="0"/>
        <w:ind w:left="0" w:right="0" w:firstLine="0"/>
        <w:jc w:val="both"/>
        <w:keepNext/>
        <w:spacing w:before="0" w:line="283" w:lineRule="atLeast"/>
        <w:shd w:val="clear" w:color="ffffff" w:fill="ffffff"/>
        <w:widowControl/>
        <w:rPr>
          <w:rFonts w:ascii="Tinos" w:hAnsi="Tinos" w:eastAsia="Tinos" w:cs="Tinos"/>
          <w:b/>
          <w:bCs w:val="0"/>
          <w:i w:val="0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  <w:highlight w:val="none"/>
        </w:rPr>
        <w:t xml:space="preserve">Амнистия предполагает бесплатное получение земельного участка под гаражом, как это сделать?</w:t>
      </w:r>
      <w:r>
        <w:rPr>
          <w:rFonts w:ascii="Tinos" w:hAnsi="Tinos" w:cs="Tinos"/>
          <w:b/>
          <w:bCs/>
          <w:i w:val="0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both"/>
        <w:keepNext/>
        <w:spacing w:before="0" w:line="283" w:lineRule="atLeast"/>
        <w:shd w:val="clear" w:color="ffffff" w:fill="ffffff"/>
        <w:widowControl/>
        <w:rPr>
          <w:rFonts w:ascii="Tinos" w:hAnsi="Tinos" w:cs="Tinos"/>
          <w:b/>
          <w:bCs w:val="0"/>
          <w:i w:val="0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  <w:highlight w:val="none"/>
        </w:rPr>
        <w:t xml:space="preserve">Ю.Д.: </w:t>
      </w:r>
      <w:r>
        <w:rPr>
          <w:rFonts w:ascii="Tinos" w:hAnsi="Tinos" w:eastAsia="Tinos" w:cs="Tinos"/>
          <w:i/>
          <w:color w:val="000000" w:themeColor="text1"/>
          <w:sz w:val="26"/>
          <w:szCs w:val="26"/>
        </w:rPr>
        <w:t xml:space="preserve">Если участок подпадает под условия «гаражной амнистии», то есть </w:t>
      </w:r>
      <w:r>
        <w:rPr>
          <w:rFonts w:ascii="Tinos" w:hAnsi="Tinos" w:eastAsia="Tinos" w:cs="Tinos"/>
          <w:b w:val="0"/>
          <w:bCs w:val="0"/>
          <w:i/>
          <w:iCs/>
          <w:color w:val="000000" w:themeColor="text1"/>
          <w:sz w:val="26"/>
          <w:szCs w:val="26"/>
        </w:rPr>
        <w:t xml:space="preserve">гараж</w:t>
      </w:r>
      <w:r>
        <w:rPr>
          <w:rFonts w:ascii="Tinos" w:hAnsi="Tinos" w:eastAsia="Tinos" w:cs="Tinos"/>
          <w:b/>
          <w:i/>
          <w:color w:val="000000" w:themeColor="text1"/>
          <w:sz w:val="26"/>
          <w:szCs w:val="26"/>
        </w:rPr>
        <w:t xml:space="preserve"> </w:t>
      </w:r>
      <w:r>
        <w:rPr>
          <w:rFonts w:ascii="Tinos" w:hAnsi="Tinos" w:eastAsia="Tinos" w:cs="Tinos"/>
          <w:i/>
          <w:color w:val="000000" w:themeColor="text1"/>
          <w:sz w:val="26"/>
          <w:szCs w:val="26"/>
        </w:rPr>
        <w:t xml:space="preserve">построен до 30 декабря 2004 года,</w:t>
      </w:r>
      <w:r>
        <w:rPr>
          <w:rFonts w:ascii="Tinos" w:hAnsi="Tinos" w:eastAsia="Tinos" w:cs="Tinos"/>
          <w:i/>
          <w:color w:val="000000" w:themeColor="text1"/>
          <w:sz w:val="26"/>
          <w:szCs w:val="26"/>
        </w:rPr>
        <w:t xml:space="preserve"> у него есть фундамент и стены, </w:t>
      </w:r>
      <w:r>
        <w:rPr>
          <w:rFonts w:ascii="Tinos" w:hAnsi="Tinos" w:eastAsia="Tinos" w:cs="Tinos"/>
          <w:b w:val="0"/>
          <w:bCs w:val="0"/>
          <w:i/>
          <w:iCs/>
          <w:color w:val="000000" w:themeColor="text1"/>
          <w:sz w:val="26"/>
          <w:szCs w:val="26"/>
        </w:rPr>
        <w:t xml:space="preserve">но его границы не установлены</w:t>
      </w:r>
      <w:r>
        <w:rPr>
          <w:rFonts w:ascii="Tinos" w:hAnsi="Tinos" w:eastAsia="Tinos" w:cs="Tinos"/>
          <w:b w:val="0"/>
          <w:bCs w:val="0"/>
          <w:i/>
          <w:iCs/>
          <w:color w:val="000000" w:themeColor="text1"/>
          <w:sz w:val="26"/>
          <w:szCs w:val="26"/>
        </w:rPr>
        <w:t xml:space="preserve">,</w:t>
      </w:r>
      <w:r>
        <w:rPr>
          <w:rFonts w:ascii="Tinos" w:hAnsi="Tinos" w:eastAsia="Tinos" w:cs="Tinos"/>
          <w:i/>
          <w:color w:val="000000" w:themeColor="text1"/>
          <w:sz w:val="26"/>
          <w:szCs w:val="26"/>
        </w:rPr>
        <w:t xml:space="preserve"> тогда необходимо пригласить кадастрового инженера для подготовки межевого плана земельного участка</w:t>
      </w:r>
      <w:r>
        <w:rPr>
          <w:rFonts w:ascii="Tinos" w:hAnsi="Tinos" w:eastAsia="Tinos" w:cs="Tinos"/>
          <w:i/>
          <w:color w:val="000000" w:themeColor="text1"/>
          <w:sz w:val="26"/>
          <w:szCs w:val="26"/>
        </w:rPr>
        <w:t xml:space="preserve">. С готовым межевым планом (его кадастровый инженер выдаст на диске) обратиться в администрацию по месту нахождения гаража и написать заявление </w:t>
      </w:r>
      <w:r>
        <w:rPr>
          <w:rFonts w:ascii="Tinos" w:hAnsi="Tinos" w:eastAsia="Tinos" w:cs="Tinos"/>
          <w:b w:val="0"/>
          <w:bCs w:val="0"/>
          <w:i/>
          <w:color w:val="000000" w:themeColor="text1"/>
          <w:sz w:val="26"/>
          <w:szCs w:val="26"/>
        </w:rPr>
        <w:t xml:space="preserve">о </w:t>
      </w:r>
      <w:r>
        <w:rPr>
          <w:rFonts w:ascii="Tinos" w:hAnsi="Tinos" w:eastAsia="Tinos" w:cs="Tinos"/>
          <w:b w:val="0"/>
          <w:bCs w:val="0"/>
          <w:i/>
          <w:color w:val="000000" w:themeColor="text1"/>
          <w:sz w:val="26"/>
          <w:szCs w:val="26"/>
        </w:rPr>
        <w:t xml:space="preserve">предварительном согласовании </w:t>
      </w:r>
      <w:r>
        <w:rPr>
          <w:rFonts w:ascii="Tinos" w:hAnsi="Tinos" w:eastAsia="Tinos" w:cs="Tinos"/>
          <w:b w:val="0"/>
          <w:bCs w:val="0"/>
          <w:i/>
          <w:color w:val="000000" w:themeColor="text1"/>
          <w:sz w:val="26"/>
          <w:szCs w:val="26"/>
        </w:rPr>
        <w:t xml:space="preserve">предоставлен</w:t>
      </w:r>
      <w:r>
        <w:rPr>
          <w:rFonts w:ascii="Tinos" w:hAnsi="Tinos" w:eastAsia="Tinos" w:cs="Tinos"/>
          <w:b w:val="0"/>
          <w:bCs w:val="0"/>
          <w:i/>
          <w:color w:val="000000" w:themeColor="text1"/>
          <w:sz w:val="26"/>
          <w:szCs w:val="26"/>
        </w:rPr>
        <w:t xml:space="preserve">и</w:t>
      </w:r>
      <w:r>
        <w:rPr>
          <w:rFonts w:ascii="Tinos" w:hAnsi="Tinos" w:eastAsia="Tinos" w:cs="Tinos"/>
          <w:b w:val="0"/>
          <w:bCs w:val="0"/>
          <w:i/>
          <w:color w:val="000000" w:themeColor="text1"/>
          <w:sz w:val="26"/>
          <w:szCs w:val="26"/>
        </w:rPr>
        <w:t xml:space="preserve">я</w:t>
      </w:r>
      <w:r>
        <w:rPr>
          <w:rFonts w:ascii="Tinos" w:hAnsi="Tinos" w:eastAsia="Tinos" w:cs="Tinos"/>
          <w:i/>
          <w:color w:val="000000" w:themeColor="text1"/>
          <w:sz w:val="26"/>
          <w:szCs w:val="26"/>
        </w:rPr>
        <w:t xml:space="preserve"> участка с приложением любого документа, подтверждающего факт владения объектом. </w:t>
      </w:r>
      <w:r>
        <w:rPr>
          <w:rFonts w:ascii="Tinos" w:hAnsi="Tinos" w:cs="Tinos"/>
          <w:b/>
          <w:bCs/>
          <w:i w:val="0"/>
          <w:color w:val="000000" w:themeColor="text1"/>
          <w:sz w:val="26"/>
          <w:szCs w:val="26"/>
          <w:highlight w:val="none"/>
        </w:rPr>
      </w:r>
      <w:r/>
    </w:p>
    <w:p>
      <w:pPr>
        <w:pStyle w:val="708"/>
        <w:numPr>
          <w:ilvl w:val="0"/>
          <w:numId w:val="7"/>
        </w:numPr>
        <w:contextualSpacing w:val="0"/>
        <w:ind w:left="0" w:firstLine="0"/>
        <w:jc w:val="both"/>
        <w:keepNext/>
        <w:spacing w:before="0" w:line="283" w:lineRule="atLeast"/>
        <w:shd w:val="clear" w:color="ffffff" w:fill="ffffff"/>
        <w:rPr>
          <w:rFonts w:ascii="Tinos" w:hAnsi="Tinos" w:cs="Tinos"/>
          <w:b/>
          <w:bCs/>
          <w:i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i/>
          <w:color w:val="000000" w:themeColor="text1"/>
          <w:sz w:val="26"/>
          <w:szCs w:val="26"/>
        </w:rPr>
        <w:t xml:space="preserve">Какие, например?</w:t>
      </w:r>
      <w:r>
        <w:rPr>
          <w:rFonts w:ascii="Tinos" w:hAnsi="Tinos" w:eastAsia="Tinos" w:cs="Tinos"/>
          <w:b/>
          <w:bCs/>
          <w:i/>
          <w:color w:val="000000" w:themeColor="text1"/>
          <w:sz w:val="26"/>
          <w:szCs w:val="26"/>
        </w:rPr>
      </w:r>
      <w:r>
        <w:rPr>
          <w:rFonts w:ascii="Tinos" w:hAnsi="Tinos" w:cs="Tinos"/>
          <w:b/>
          <w:bCs/>
          <w:i/>
          <w:color w:val="000000" w:themeColor="text1"/>
          <w:sz w:val="26"/>
          <w:szCs w:val="26"/>
        </w:rPr>
      </w:r>
    </w:p>
    <w:p>
      <w:pPr>
        <w:contextualSpacing w:val="0"/>
        <w:ind w:left="0" w:firstLine="0"/>
        <w:jc w:val="both"/>
        <w:keepNext/>
        <w:spacing w:before="0" w:line="283" w:lineRule="atLeast"/>
        <w:shd w:val="clear" w:color="ffffff" w:fill="ffffff"/>
        <w:rPr>
          <w:rFonts w:ascii="Tinos" w:hAnsi="Tinos" w:cs="Tinos"/>
          <w:b w:val="0"/>
          <w:bCs/>
          <w:i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</w:rPr>
        <w:t xml:space="preserve">Ю.Д.: </w:t>
      </w:r>
      <w:r>
        <w:rPr>
          <w:rFonts w:ascii="Tinos" w:hAnsi="Tinos" w:eastAsia="Tinos" w:cs="Tinos"/>
          <w:i/>
          <w:color w:val="000000" w:themeColor="text1"/>
          <w:sz w:val="26"/>
          <w:szCs w:val="26"/>
        </w:rPr>
        <w:t xml:space="preserve">Это может быть </w:t>
      </w:r>
      <w:r>
        <w:rPr>
          <w:rFonts w:ascii="Tinos" w:hAnsi="Tinos" w:eastAsia="Tinos" w:cs="Tinos"/>
          <w:i/>
          <w:color w:val="000000" w:themeColor="text1"/>
          <w:sz w:val="26"/>
          <w:szCs w:val="26"/>
        </w:rPr>
        <w:t xml:space="preserve">старый технический паспорт, членская книжка о вступлении в гаражный кооператив, или квитанции об опла</w:t>
      </w:r>
      <w:r>
        <w:rPr>
          <w:rFonts w:ascii="Tinos" w:hAnsi="Tinos" w:eastAsia="Tinos" w:cs="Tinos"/>
          <w:i/>
          <w:color w:val="000000" w:themeColor="text1"/>
          <w:sz w:val="26"/>
          <w:szCs w:val="26"/>
        </w:rPr>
        <w:t xml:space="preserve">те электроэнергии. В течение </w:t>
      </w:r>
      <w:r>
        <w:rPr>
          <w:rFonts w:ascii="Tinos" w:hAnsi="Tinos" w:eastAsia="Tinos" w:cs="Tinos"/>
          <w:b w:val="0"/>
          <w:bCs w:val="0"/>
          <w:i/>
          <w:color w:val="000000" w:themeColor="text1"/>
          <w:sz w:val="26"/>
          <w:szCs w:val="26"/>
        </w:rPr>
        <w:t xml:space="preserve">двадцати</w:t>
      </w:r>
      <w:r>
        <w:rPr>
          <w:rFonts w:ascii="Tinos" w:hAnsi="Tinos" w:eastAsia="Tinos" w:cs="Tinos"/>
          <w:b w:val="0"/>
          <w:bCs w:val="0"/>
          <w:i/>
          <w:color w:val="000000" w:themeColor="text1"/>
          <w:sz w:val="26"/>
          <w:szCs w:val="26"/>
        </w:rPr>
        <w:t xml:space="preserve"> д</w:t>
      </w:r>
      <w:r>
        <w:rPr>
          <w:rFonts w:ascii="Tinos" w:hAnsi="Tinos" w:eastAsia="Tinos" w:cs="Tinos"/>
          <w:i/>
          <w:color w:val="000000" w:themeColor="text1"/>
          <w:sz w:val="26"/>
          <w:szCs w:val="26"/>
        </w:rPr>
        <w:t xml:space="preserve">ней администрация вынесет соответствующее постановление</w:t>
      </w:r>
      <w:r>
        <w:rPr>
          <w:rFonts w:ascii="Tinos" w:hAnsi="Tinos" w:eastAsia="Tinos" w:cs="Tinos"/>
          <w:i/>
          <w:color w:val="000000" w:themeColor="text1"/>
          <w:sz w:val="26"/>
          <w:szCs w:val="26"/>
        </w:rPr>
        <w:t xml:space="preserve">, которое станет основанием </w:t>
      </w:r>
      <w:r>
        <w:rPr>
          <w:rFonts w:ascii="Tinos" w:hAnsi="Tinos" w:eastAsia="Tinos" w:cs="Tinos"/>
          <w:b w:val="0"/>
          <w:bCs w:val="0"/>
          <w:i/>
          <w:color w:val="000000" w:themeColor="text1"/>
          <w:sz w:val="26"/>
          <w:szCs w:val="26"/>
        </w:rPr>
        <w:t xml:space="preserve">д</w:t>
      </w:r>
      <w:r>
        <w:rPr>
          <w:rFonts w:ascii="Tinos" w:hAnsi="Tinos" w:eastAsia="Tinos" w:cs="Tinos"/>
          <w:b w:val="0"/>
          <w:bCs w:val="0"/>
          <w:i/>
          <w:color w:val="000000" w:themeColor="text1"/>
          <w:sz w:val="26"/>
          <w:szCs w:val="26"/>
        </w:rPr>
        <w:t xml:space="preserve">ля кадастрового учета земельного участка, после чего гражданин уведомляет орган местного самоуправления об осуществлении кадастрового учета. </w:t>
      </w:r>
      <w:r>
        <w:rPr>
          <w:rFonts w:ascii="Tinos" w:hAnsi="Tinos" w:eastAsia="Tinos" w:cs="Tinos"/>
          <w:b w:val="0"/>
          <w:bCs w:val="0"/>
          <w:i/>
          <w:color w:val="000000" w:themeColor="text1"/>
          <w:sz w:val="26"/>
          <w:szCs w:val="26"/>
        </w:rPr>
        <w:t xml:space="preserve">На основании такого уведомления осуществл</w:t>
      </w:r>
      <w:r>
        <w:rPr>
          <w:rFonts w:ascii="Tinos" w:hAnsi="Tinos" w:eastAsia="Tinos" w:cs="Tinos"/>
          <w:b w:val="0"/>
          <w:bCs w:val="0"/>
          <w:i/>
          <w:color w:val="000000" w:themeColor="text1"/>
          <w:sz w:val="26"/>
          <w:szCs w:val="26"/>
        </w:rPr>
        <w:t xml:space="preserve">яется подготовка решения о предоставлении земельного участка.</w:t>
      </w:r>
      <w:r>
        <w:rPr>
          <w:rFonts w:ascii="Tinos" w:hAnsi="Tinos" w:cs="Tinos"/>
          <w:b w:val="0"/>
          <w:bCs/>
          <w:i/>
          <w:color w:val="000000" w:themeColor="text1"/>
          <w:sz w:val="26"/>
          <w:szCs w:val="26"/>
        </w:rPr>
      </w:r>
      <w:r>
        <w:rPr>
          <w:rFonts w:ascii="Tinos" w:hAnsi="Tinos" w:cs="Tinos"/>
          <w:b w:val="0"/>
          <w:bCs/>
          <w:i/>
          <w:color w:val="000000" w:themeColor="text1"/>
          <w:sz w:val="26"/>
          <w:szCs w:val="26"/>
        </w:rPr>
      </w:r>
    </w:p>
    <w:p>
      <w:pPr>
        <w:pStyle w:val="708"/>
        <w:numPr>
          <w:ilvl w:val="0"/>
          <w:numId w:val="7"/>
        </w:numPr>
        <w:contextualSpacing w:val="0"/>
        <w:ind w:left="0" w:firstLine="0"/>
        <w:jc w:val="both"/>
        <w:keepNext/>
        <w:spacing w:before="0" w:line="283" w:lineRule="atLeast"/>
        <w:shd w:val="clear" w:color="ffffff" w:fill="ffffff"/>
        <w:rPr>
          <w:rFonts w:ascii="Tinos" w:hAnsi="Tinos" w:cs="Tinos"/>
          <w:b/>
          <w:bCs/>
          <w:i w:val="0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</w:rPr>
        <w:t xml:space="preserve">Что делать после получения участка?</w:t>
      </w:r>
      <w:r>
        <w:rPr>
          <w:rFonts w:ascii="Tinos" w:hAnsi="Tinos" w:eastAsia="Tinos" w:cs="Tinos"/>
          <w:b/>
          <w:bCs/>
          <w:i/>
          <w:color w:val="000000" w:themeColor="text1"/>
          <w:sz w:val="26"/>
          <w:szCs w:val="26"/>
        </w:rPr>
      </w:r>
      <w:r>
        <w:rPr>
          <w:rFonts w:ascii="Tinos" w:hAnsi="Tinos" w:cs="Tinos"/>
          <w:b/>
          <w:bCs/>
          <w:i w:val="0"/>
          <w:color w:val="000000" w:themeColor="text1"/>
          <w:sz w:val="26"/>
          <w:szCs w:val="26"/>
        </w:rPr>
      </w:r>
    </w:p>
    <w:p>
      <w:pPr>
        <w:contextualSpacing w:val="0"/>
        <w:ind w:left="0" w:firstLine="0"/>
        <w:jc w:val="both"/>
        <w:keepNext/>
        <w:spacing w:before="0" w:line="283" w:lineRule="atLeast"/>
        <w:shd w:val="clear" w:color="ffffff" w:fill="ffffff"/>
        <w:rPr>
          <w:rFonts w:ascii="Tinos" w:hAnsi="Tinos" w:cs="Tinos"/>
          <w:b w:val="0"/>
          <w:bCs/>
          <w:i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</w:rPr>
        <w:t xml:space="preserve">Н.И.: </w:t>
      </w:r>
      <w:r>
        <w:rPr>
          <w:rFonts w:ascii="Tinos" w:hAnsi="Tinos" w:eastAsia="Tinos" w:cs="Tinos"/>
          <w:b w:val="0"/>
          <w:bCs w:val="0"/>
          <w:i/>
          <w:iCs/>
          <w:color w:val="000000" w:themeColor="text1"/>
          <w:sz w:val="26"/>
          <w:szCs w:val="26"/>
        </w:rPr>
        <w:t xml:space="preserve">Нужно зарегистрировать на него право собственности. Направить документ в Росреестр может орган местного самоуправления. </w:t>
      </w:r>
      <w:r>
        <w:rPr>
          <w:rFonts w:ascii="Tinos" w:hAnsi="Tinos" w:eastAsia="Tinos" w:cs="Tinos"/>
          <w:b w:val="0"/>
          <w:bCs w:val="0"/>
          <w:i/>
          <w:iCs/>
          <w:color w:val="000000" w:themeColor="text1"/>
          <w:sz w:val="26"/>
          <w:szCs w:val="26"/>
        </w:rPr>
        <w:t xml:space="preserve">Есл</w:t>
      </w:r>
      <w:r>
        <w:rPr>
          <w:rFonts w:ascii="Tinos" w:hAnsi="Tinos" w:eastAsia="Tinos" w:cs="Tinos"/>
          <w:b w:val="0"/>
          <w:bCs w:val="0"/>
          <w:i/>
          <w:iCs/>
          <w:color w:val="000000" w:themeColor="text1"/>
          <w:sz w:val="26"/>
          <w:szCs w:val="26"/>
        </w:rPr>
        <w:t xml:space="preserve">и же право собственности гражданина на сам капитальный гараж также не оформлено, то орган местного самоуправления обеспечит направление документов в Росреестр для регистрации этого права одновременно с регистрацией права собственности на земельный участок.</w:t>
      </w:r>
      <w:r>
        <w:rPr>
          <w:rFonts w:ascii="Tinos" w:hAnsi="Tinos" w:eastAsia="Tinos" w:cs="Tinos"/>
          <w:b w:val="0"/>
          <w:bCs w:val="0"/>
          <w:i/>
          <w:iCs/>
          <w:color w:val="000000" w:themeColor="text1"/>
          <w:sz w:val="26"/>
          <w:szCs w:val="26"/>
        </w:rPr>
        <w:t xml:space="preserve"> Если гараж не стоит на кадастровом учете, то для осуществления регистрации права собственности на него вместе с участком потребуется </w:t>
      </w:r>
      <w:r>
        <w:rPr>
          <w:rFonts w:ascii="Tinos" w:hAnsi="Tinos" w:eastAsia="Tinos" w:cs="Tinos"/>
          <w:b w:val="0"/>
          <w:bCs w:val="0"/>
          <w:i/>
          <w:iCs/>
          <w:color w:val="000000" w:themeColor="text1"/>
          <w:sz w:val="26"/>
          <w:szCs w:val="26"/>
        </w:rPr>
        <w:t xml:space="preserve">изготовить также </w:t>
      </w:r>
      <w:r>
        <w:rPr>
          <w:rFonts w:ascii="Tinos" w:hAnsi="Tinos" w:eastAsia="Tinos" w:cs="Tinos"/>
          <w:b w:val="0"/>
          <w:bCs w:val="0"/>
          <w:i/>
          <w:iCs/>
          <w:color w:val="000000" w:themeColor="text1"/>
          <w:sz w:val="26"/>
          <w:szCs w:val="26"/>
        </w:rPr>
        <w:t xml:space="preserve">технический план здания.</w:t>
      </w:r>
      <w:r>
        <w:rPr>
          <w:rFonts w:ascii="Tinos" w:hAnsi="Tinos" w:eastAsia="Tinos" w:cs="Tinos"/>
          <w:i/>
          <w:iCs/>
          <w:color w:val="000000" w:themeColor="text1"/>
        </w:rPr>
      </w:r>
      <w:r>
        <w:rPr>
          <w:rFonts w:ascii="Tinos" w:hAnsi="Tinos" w:cs="Tinos"/>
          <w:b w:val="0"/>
          <w:bCs/>
          <w:i/>
          <w:color w:val="000000" w:themeColor="text1"/>
          <w:sz w:val="26"/>
          <w:szCs w:val="26"/>
        </w:rPr>
      </w:r>
    </w:p>
    <w:p>
      <w:pPr>
        <w:pStyle w:val="708"/>
        <w:numPr>
          <w:ilvl w:val="0"/>
          <w:numId w:val="7"/>
        </w:numPr>
        <w:contextualSpacing w:val="0"/>
        <w:ind w:left="0" w:firstLine="0"/>
        <w:jc w:val="both"/>
        <w:keepNext/>
        <w:spacing w:before="0" w:line="283" w:lineRule="atLeast"/>
        <w:shd w:val="clear" w:color="ffffff" w:fill="ffffff"/>
        <w:rPr>
          <w:rFonts w:ascii="Tinos" w:hAnsi="Tinos" w:cs="Tinos"/>
          <w:b/>
          <w:bCs/>
          <w:i w:val="0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</w:rPr>
        <w:t xml:space="preserve">Какой документ подтвердит владение имуществом?</w:t>
      </w: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</w:rPr>
      </w:r>
      <w:r>
        <w:rPr>
          <w:rFonts w:ascii="Tinos" w:hAnsi="Tinos" w:cs="Tinos"/>
          <w:b/>
          <w:bCs/>
          <w:i w:val="0"/>
          <w:color w:val="000000" w:themeColor="text1"/>
          <w:sz w:val="26"/>
          <w:szCs w:val="26"/>
        </w:rPr>
      </w:r>
    </w:p>
    <w:p>
      <w:pPr>
        <w:contextualSpacing w:val="0"/>
        <w:ind w:left="0" w:firstLine="0"/>
        <w:jc w:val="both"/>
        <w:keepNext/>
        <w:spacing w:before="0" w:line="283" w:lineRule="atLeast"/>
        <w:shd w:val="clear" w:color="ffffff" w:fill="ffffff"/>
        <w:rPr>
          <w:rFonts w:ascii="Tinos" w:hAnsi="Tinos" w:cs="Tinos"/>
          <w:bCs/>
          <w:i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</w:rPr>
        <w:t xml:space="preserve">Н.И.: </w:t>
      </w:r>
      <w:r>
        <w:rPr>
          <w:rFonts w:ascii="Tinos" w:hAnsi="Tinos" w:eastAsia="Tinos" w:cs="Tinos"/>
          <w:i/>
          <w:color w:val="000000" w:themeColor="text1"/>
          <w:sz w:val="26"/>
          <w:szCs w:val="26"/>
        </w:rPr>
        <w:t xml:space="preserve">По завершению учетно-регистрацио</w:t>
      </w:r>
      <w:r>
        <w:rPr>
          <w:rFonts w:ascii="Tinos" w:hAnsi="Tinos" w:eastAsia="Tinos" w:cs="Tinos"/>
          <w:i/>
          <w:color w:val="000000" w:themeColor="text1"/>
          <w:sz w:val="26"/>
          <w:szCs w:val="26"/>
        </w:rPr>
        <w:t xml:space="preserve">нных действий, срок которых  в данном случае составляет 5-7 рабочих дней, собственнику в личный кабинет на портале Госуслуги поступит выписка из Единого государственного реестра недвижимости. Она и станет подтверждением права собственности на участок и гар</w:t>
      </w:r>
      <w:r>
        <w:rPr>
          <w:rFonts w:ascii="Tinos" w:hAnsi="Tinos" w:eastAsia="Tinos" w:cs="Tinos"/>
          <w:i/>
          <w:color w:val="000000" w:themeColor="text1"/>
          <w:sz w:val="26"/>
          <w:szCs w:val="26"/>
        </w:rPr>
        <w:t xml:space="preserve">аж. </w:t>
      </w:r>
      <w:r>
        <w:rPr>
          <w:rFonts w:ascii="Tinos" w:hAnsi="Tinos" w:eastAsia="Tinos" w:cs="Tinos"/>
          <w:color w:val="000000" w:themeColor="text1"/>
        </w:rPr>
      </w:r>
      <w:r>
        <w:rPr>
          <w:rFonts w:ascii="Tinos" w:hAnsi="Tinos" w:cs="Tinos"/>
          <w:bCs/>
          <w:i/>
          <w:color w:val="000000" w:themeColor="text1"/>
          <w:sz w:val="26"/>
          <w:szCs w:val="26"/>
        </w:rPr>
      </w:r>
    </w:p>
    <w:p>
      <w:pPr>
        <w:pStyle w:val="708"/>
        <w:numPr>
          <w:ilvl w:val="0"/>
          <w:numId w:val="7"/>
        </w:numPr>
        <w:contextualSpacing w:val="0"/>
        <w:ind w:left="0" w:firstLine="0"/>
        <w:jc w:val="both"/>
        <w:keepNext/>
        <w:spacing w:before="0" w:line="283" w:lineRule="atLeast"/>
        <w:shd w:val="clear" w:color="ffffff" w:fill="ffffff"/>
        <w:rPr>
          <w:rFonts w:ascii="Tinos" w:hAnsi="Tinos" w:cs="Tinos"/>
          <w:b/>
          <w:bCs w:val="0"/>
          <w:i w:val="0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  <w:highlight w:val="none"/>
        </w:rPr>
        <w:t xml:space="preserve">Возможно ли продление «гаражной амнистии»?</w:t>
      </w: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/>
          <w:bCs w:val="0"/>
          <w:i w:val="0"/>
          <w:color w:val="000000" w:themeColor="text1"/>
          <w:sz w:val="26"/>
          <w:szCs w:val="26"/>
        </w:rPr>
      </w:r>
    </w:p>
    <w:p>
      <w:pPr>
        <w:contextualSpacing w:val="0"/>
        <w:ind w:left="0" w:firstLine="0"/>
        <w:jc w:val="both"/>
        <w:keepNext/>
        <w:spacing w:before="0" w:line="283" w:lineRule="atLeast"/>
        <w:shd w:val="clear" w:color="ffffff" w:fill="ffffff"/>
        <w:rPr>
          <w:rFonts w:ascii="Tinos" w:hAnsi="Tinos" w:cs="Tinos"/>
          <w:bCs/>
          <w:i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i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</w:rPr>
        <w:t xml:space="preserve">Н.И.: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</w:rPr>
        <w:t xml:space="preserve"> «Гаражная амнистия» начала действовать с 1 сентября 2021 года по поручению Правительства РФ. В настоящее время с учетом популярности услуги рассматривается вопрос о возможности её продления, чтобы как можно боль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</w:rPr>
        <w:t xml:space="preserve">ше жителей страны смогли воспользоваться данным механизмом.</w:t>
      </w:r>
      <w:r>
        <w:rPr>
          <w:rFonts w:ascii="Tinos" w:hAnsi="Tinos" w:eastAsia="Tinos" w:cs="Tinos"/>
          <w:bCs/>
          <w:i/>
          <w:color w:val="000000" w:themeColor="text1"/>
          <w:sz w:val="26"/>
          <w:szCs w:val="26"/>
        </w:rPr>
      </w:r>
      <w:r>
        <w:rPr>
          <w:rFonts w:ascii="Tinos" w:hAnsi="Tinos" w:cs="Tinos"/>
          <w:bCs/>
          <w:i/>
          <w:color w:val="000000" w:themeColor="text1"/>
          <w:sz w:val="26"/>
          <w:szCs w:val="26"/>
        </w:rPr>
      </w:r>
    </w:p>
    <w:p>
      <w:pPr>
        <w:contextualSpacing w:val="0"/>
        <w:ind w:left="0" w:firstLine="0"/>
        <w:jc w:val="both"/>
        <w:keepNext/>
        <w:spacing w:before="0" w:line="283" w:lineRule="atLeast"/>
        <w:shd w:val="clear" w:color="ffffff" w:fill="ffffff"/>
        <w:rPr>
          <w:rFonts w:ascii="Tinos" w:hAnsi="Tinos" w:cs="Tinos"/>
          <w:bCs w:val="0"/>
          <w:i w:val="0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6"/>
          <w:szCs w:val="26"/>
          <w:highlight w:val="none"/>
        </w:rPr>
        <w:t xml:space="preserve">На заметку: </w:t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  <w:highlight w:val="none"/>
        </w:rPr>
        <w:t xml:space="preserve">Для получения консультации по оформлению права собственности на гараж и участок под ним можно обратиться по телефонам Росреестра Хакасии в Абакане 8(3902)22-57-26, 23-97-05.</w:t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Cs w:val="0"/>
          <w:i w:val="0"/>
          <w:color w:val="000000" w:themeColor="text1"/>
          <w:sz w:val="26"/>
          <w:szCs w:val="26"/>
        </w:rPr>
      </w:r>
    </w:p>
    <w:p>
      <w:pPr>
        <w:contextualSpacing w:val="0"/>
        <w:ind w:firstLine="708"/>
        <w:jc w:val="both"/>
        <w:keepNext/>
        <w:spacing w:before="0" w:line="283" w:lineRule="atLeast"/>
        <w:shd w:val="clear" w:color="ffffff" w:fill="ffffff"/>
        <w:rPr>
          <w:rFonts w:ascii="Tinos" w:hAnsi="Tinos" w:cs="Tinos"/>
          <w:i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i/>
          <w:color w:val="000000" w:themeColor="text1"/>
          <w:sz w:val="26"/>
          <w:szCs w:val="26"/>
        </w:rPr>
      </w:r>
      <w:r>
        <w:rPr>
          <w:rFonts w:ascii="Tinos" w:hAnsi="Tinos" w:eastAsia="Tinos" w:cs="Tinos"/>
          <w:i/>
          <w:color w:val="000000" w:themeColor="text1"/>
          <w:sz w:val="26"/>
          <w:szCs w:val="26"/>
        </w:rPr>
      </w:r>
      <w:r>
        <w:rPr>
          <w:rFonts w:ascii="Tinos" w:hAnsi="Tinos" w:cs="Tinos"/>
          <w:i/>
          <w:color w:val="000000" w:themeColor="text1"/>
          <w:sz w:val="26"/>
          <w:szCs w:val="26"/>
        </w:rPr>
      </w:r>
    </w:p>
    <w:p>
      <w:pPr>
        <w:contextualSpacing w:val="0"/>
        <w:ind w:left="0" w:right="0" w:firstLine="0"/>
        <w:jc w:val="right"/>
        <w:keepNext/>
        <w:spacing w:before="0" w:line="283" w:lineRule="atLeast"/>
        <w:shd w:val="clear" w:color="ffffff" w:fill="ffffff"/>
        <w:widowControl/>
        <w:rPr>
          <w:rFonts w:ascii="Tinos" w:hAnsi="Tinos" w:cs="Tinos"/>
          <w:b w:val="0"/>
          <w:bCs/>
          <w:i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 w:val="0"/>
          <w:bCs w:val="0"/>
          <w:i/>
          <w:color w:val="000000" w:themeColor="text1"/>
          <w:sz w:val="26"/>
          <w:szCs w:val="26"/>
          <w:highlight w:val="none"/>
        </w:rPr>
        <w:t xml:space="preserve">Беседовала Мария Миронова</w:t>
      </w:r>
      <w:r>
        <w:rPr>
          <w:rFonts w:ascii="Tinos" w:hAnsi="Tinos" w:cs="Tinos"/>
          <w:b w:val="0"/>
          <w:bCs/>
          <w:i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 w:val="0"/>
          <w:bCs/>
          <w:i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right"/>
        <w:keepNext/>
        <w:spacing w:before="0" w:line="283" w:lineRule="atLeast"/>
        <w:shd w:val="clear" w:color="ffffff" w:fill="ffffff"/>
        <w:widowControl/>
        <w:rPr>
          <w:rFonts w:ascii="Tinos" w:hAnsi="Tinos" w:cs="Tinos"/>
          <w:b w:val="0"/>
          <w:bCs/>
          <w:i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 w:val="0"/>
          <w:bCs w:val="0"/>
          <w:i/>
          <w:color w:val="000000" w:themeColor="text1"/>
          <w:sz w:val="26"/>
          <w:szCs w:val="26"/>
          <w:highlight w:val="none"/>
        </w:rPr>
        <w:t xml:space="preserve">Помощник руководителя Росреестра Хакасии</w:t>
      </w:r>
      <w:r>
        <w:rPr>
          <w:rFonts w:ascii="Tinos" w:hAnsi="Tinos" w:eastAsia="Tinos" w:cs="Tinos"/>
          <w:b w:val="0"/>
          <w:bCs w:val="0"/>
          <w:i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 w:val="0"/>
          <w:bCs/>
          <w:i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left="0" w:right="0" w:firstLine="708"/>
        <w:jc w:val="both"/>
        <w:keepNext/>
        <w:spacing w:before="0" w:line="283" w:lineRule="atLeast"/>
        <w:shd w:val="clear" w:color="ffffff" w:fill="ffffff"/>
        <w:widowControl/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both"/>
        <w:keepNext/>
        <w:spacing w:before="0" w:line="283" w:lineRule="atLeast"/>
        <w:shd w:val="clear" w:color="ffffff" w:fill="ffffff"/>
        <w:widowControl/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both"/>
        <w:keepNext/>
        <w:spacing w:before="0" w:line="283" w:lineRule="atLeast"/>
        <w:shd w:val="clear" w:color="ffffff" w:fill="ffffff"/>
        <w:widowControl/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both"/>
        <w:keepNext/>
        <w:spacing w:before="0" w:after="0" w:line="283" w:lineRule="atLeast"/>
        <w:rPr>
          <w:rFonts w:ascii="Tinos" w:hAnsi="Tinos" w:cs="Tinos"/>
          <w:b w:val="0"/>
          <w:bCs w:val="0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</w:rPr>
      </w:r>
    </w:p>
    <w:p>
      <w:pPr>
        <w:contextualSpacing w:val="0"/>
        <w:ind w:left="0" w:right="0" w:firstLine="0"/>
        <w:jc w:val="both"/>
        <w:keepNext/>
        <w:spacing w:before="0" w:line="283" w:lineRule="atLeast"/>
        <w:shd w:val="clear" w:color="ffffff" w:fill="ffffff"/>
        <w:widowControl/>
        <w:rPr>
          <w:rFonts w:ascii="Tinos" w:hAnsi="Tinos" w:cs="Tinos"/>
          <w:b w:val="0"/>
          <w:bCs w:val="0"/>
          <w:color w:val="000000" w:themeColor="text1"/>
          <w:sz w:val="16"/>
          <w:szCs w:val="1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 w:val="0"/>
          <w:bCs w:val="0"/>
          <w:color w:val="000000" w:themeColor="text1"/>
          <w:sz w:val="16"/>
          <w:szCs w:val="16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16"/>
          <w:szCs w:val="16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16"/>
          <w:szCs w:val="16"/>
          <w:highlight w:val="none"/>
        </w:rPr>
      </w:r>
    </w:p>
    <w:p>
      <w:pPr>
        <w:contextualSpacing w:val="0"/>
        <w:ind w:left="0" w:right="0" w:firstLine="0"/>
        <w:jc w:val="both"/>
        <w:keepNext/>
        <w:spacing w:before="0" w:line="283" w:lineRule="atLeast"/>
        <w:shd w:val="clear" w:color="ffffff" w:fill="ffffff"/>
        <w:widowControl/>
        <w:rPr>
          <w:rFonts w:ascii="Tinos" w:hAnsi="Tinos" w:cs="Tinos"/>
          <w:b w:val="0"/>
          <w:bCs w:val="0"/>
          <w:color w:val="000000" w:themeColor="text1"/>
          <w:sz w:val="16"/>
          <w:szCs w:val="1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cs="Tinos"/>
          <w:b w:val="0"/>
          <w:bCs w:val="0"/>
          <w:color w:val="000000" w:themeColor="text1"/>
          <w:sz w:val="16"/>
          <w:szCs w:val="16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16"/>
          <w:szCs w:val="16"/>
          <w:highlight w:val="none"/>
        </w:rPr>
      </w:r>
    </w:p>
    <w:sectPr>
      <w:footnotePr/>
      <w:endnotePr/>
      <w:type w:val="nextPage"/>
      <w:pgSz w:w="11906" w:h="16838" w:orient="portrait"/>
      <w:pgMar w:top="709" w:right="850" w:bottom="568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Calibri Light">
    <w:panose1 w:val="020F05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pStyle w:val="874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ascii="Symbol" w:hAnsi="Symbol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ascii="Symbol" w:hAnsi="Symbol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0">
    <w:name w:val="Heading 2 Char"/>
    <w:basedOn w:val="696"/>
    <w:link w:val="688"/>
    <w:uiPriority w:val="9"/>
    <w:rPr>
      <w:rFonts w:ascii="Arial" w:hAnsi="Arial" w:eastAsia="Arial" w:cs="Arial"/>
      <w:sz w:val="34"/>
    </w:rPr>
  </w:style>
  <w:style w:type="character" w:styleId="671">
    <w:name w:val="Heading 3 Char"/>
    <w:basedOn w:val="696"/>
    <w:link w:val="689"/>
    <w:uiPriority w:val="9"/>
    <w:rPr>
      <w:rFonts w:ascii="Arial" w:hAnsi="Arial" w:eastAsia="Arial" w:cs="Arial"/>
      <w:sz w:val="30"/>
      <w:szCs w:val="30"/>
    </w:rPr>
  </w:style>
  <w:style w:type="character" w:styleId="672">
    <w:name w:val="Heading 4 Char"/>
    <w:basedOn w:val="696"/>
    <w:link w:val="690"/>
    <w:uiPriority w:val="9"/>
    <w:rPr>
      <w:rFonts w:ascii="Arial" w:hAnsi="Arial" w:eastAsia="Arial" w:cs="Arial"/>
      <w:b/>
      <w:bCs/>
      <w:sz w:val="26"/>
      <w:szCs w:val="26"/>
    </w:rPr>
  </w:style>
  <w:style w:type="character" w:styleId="673">
    <w:name w:val="Heading 5 Char"/>
    <w:basedOn w:val="696"/>
    <w:link w:val="691"/>
    <w:uiPriority w:val="9"/>
    <w:rPr>
      <w:rFonts w:ascii="Arial" w:hAnsi="Arial" w:eastAsia="Arial" w:cs="Arial"/>
      <w:b/>
      <w:bCs/>
      <w:sz w:val="24"/>
      <w:szCs w:val="24"/>
    </w:rPr>
  </w:style>
  <w:style w:type="character" w:styleId="674">
    <w:name w:val="Heading 6 Char"/>
    <w:basedOn w:val="696"/>
    <w:link w:val="692"/>
    <w:uiPriority w:val="9"/>
    <w:rPr>
      <w:rFonts w:ascii="Arial" w:hAnsi="Arial" w:eastAsia="Arial" w:cs="Arial"/>
      <w:b/>
      <w:bCs/>
      <w:sz w:val="22"/>
      <w:szCs w:val="22"/>
    </w:rPr>
  </w:style>
  <w:style w:type="character" w:styleId="675">
    <w:name w:val="Heading 7 Char"/>
    <w:basedOn w:val="696"/>
    <w:link w:val="6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6">
    <w:name w:val="Heading 8 Char"/>
    <w:basedOn w:val="696"/>
    <w:link w:val="694"/>
    <w:uiPriority w:val="9"/>
    <w:rPr>
      <w:rFonts w:ascii="Arial" w:hAnsi="Arial" w:eastAsia="Arial" w:cs="Arial"/>
      <w:i/>
      <w:iCs/>
      <w:sz w:val="22"/>
      <w:szCs w:val="22"/>
    </w:rPr>
  </w:style>
  <w:style w:type="character" w:styleId="677">
    <w:name w:val="Heading 9 Char"/>
    <w:basedOn w:val="696"/>
    <w:link w:val="695"/>
    <w:uiPriority w:val="9"/>
    <w:rPr>
      <w:rFonts w:ascii="Arial" w:hAnsi="Arial" w:eastAsia="Arial" w:cs="Arial"/>
      <w:i/>
      <w:iCs/>
      <w:sz w:val="21"/>
      <w:szCs w:val="21"/>
    </w:rPr>
  </w:style>
  <w:style w:type="character" w:styleId="678">
    <w:name w:val="Title Char"/>
    <w:basedOn w:val="696"/>
    <w:link w:val="710"/>
    <w:uiPriority w:val="10"/>
    <w:rPr>
      <w:sz w:val="48"/>
      <w:szCs w:val="48"/>
    </w:rPr>
  </w:style>
  <w:style w:type="character" w:styleId="679">
    <w:name w:val="Subtitle Char"/>
    <w:basedOn w:val="696"/>
    <w:link w:val="712"/>
    <w:uiPriority w:val="11"/>
    <w:rPr>
      <w:sz w:val="24"/>
      <w:szCs w:val="24"/>
    </w:rPr>
  </w:style>
  <w:style w:type="character" w:styleId="680">
    <w:name w:val="Quote Char"/>
    <w:link w:val="714"/>
    <w:uiPriority w:val="29"/>
    <w:rPr>
      <w:i/>
    </w:rPr>
  </w:style>
  <w:style w:type="character" w:styleId="681">
    <w:name w:val="Intense Quote Char"/>
    <w:link w:val="716"/>
    <w:uiPriority w:val="30"/>
    <w:rPr>
      <w:i/>
    </w:rPr>
  </w:style>
  <w:style w:type="character" w:styleId="682">
    <w:name w:val="Header Char"/>
    <w:basedOn w:val="696"/>
    <w:link w:val="718"/>
    <w:uiPriority w:val="99"/>
  </w:style>
  <w:style w:type="character" w:styleId="683">
    <w:name w:val="Caption Char"/>
    <w:basedOn w:val="722"/>
    <w:link w:val="720"/>
    <w:uiPriority w:val="99"/>
  </w:style>
  <w:style w:type="character" w:styleId="684">
    <w:name w:val="Footnote Text Char"/>
    <w:link w:val="851"/>
    <w:uiPriority w:val="99"/>
    <w:rPr>
      <w:sz w:val="18"/>
    </w:rPr>
  </w:style>
  <w:style w:type="character" w:styleId="685">
    <w:name w:val="Endnote Text Char"/>
    <w:link w:val="854"/>
    <w:uiPriority w:val="99"/>
    <w:rPr>
      <w:sz w:val="20"/>
    </w:rPr>
  </w:style>
  <w:style w:type="paragraph" w:styleId="686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687">
    <w:name w:val="Heading 1"/>
    <w:basedOn w:val="686"/>
    <w:next w:val="686"/>
    <w:link w:val="87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688">
    <w:name w:val="Heading 2"/>
    <w:basedOn w:val="686"/>
    <w:next w:val="686"/>
    <w:link w:val="70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9">
    <w:name w:val="Heading 3"/>
    <w:basedOn w:val="686"/>
    <w:next w:val="686"/>
    <w:link w:val="70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0">
    <w:name w:val="Heading 4"/>
    <w:basedOn w:val="686"/>
    <w:next w:val="686"/>
    <w:link w:val="70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1">
    <w:name w:val="Heading 5"/>
    <w:basedOn w:val="686"/>
    <w:next w:val="686"/>
    <w:link w:val="70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2">
    <w:name w:val="Heading 6"/>
    <w:basedOn w:val="686"/>
    <w:next w:val="686"/>
    <w:link w:val="70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3">
    <w:name w:val="Heading 7"/>
    <w:basedOn w:val="686"/>
    <w:next w:val="686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4">
    <w:name w:val="Heading 8"/>
    <w:basedOn w:val="686"/>
    <w:next w:val="686"/>
    <w:link w:val="70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95">
    <w:name w:val="Heading 9"/>
    <w:basedOn w:val="686"/>
    <w:next w:val="686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6" w:default="1">
    <w:name w:val="Default Paragraph Font"/>
    <w:uiPriority w:val="1"/>
    <w:semiHidden/>
    <w:unhideWhenUsed/>
  </w:style>
  <w:style w:type="table" w:styleId="69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8" w:default="1">
    <w:name w:val="No List"/>
    <w:uiPriority w:val="99"/>
    <w:semiHidden/>
    <w:unhideWhenUsed/>
  </w:style>
  <w:style w:type="character" w:styleId="699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00" w:customStyle="1">
    <w:name w:val="Заголовок 2 Знак"/>
    <w:link w:val="688"/>
    <w:uiPriority w:val="9"/>
    <w:rPr>
      <w:rFonts w:ascii="Arial" w:hAnsi="Arial" w:eastAsia="Arial" w:cs="Arial"/>
      <w:sz w:val="34"/>
    </w:rPr>
  </w:style>
  <w:style w:type="character" w:styleId="701" w:customStyle="1">
    <w:name w:val="Заголовок 3 Знак"/>
    <w:link w:val="689"/>
    <w:uiPriority w:val="9"/>
    <w:rPr>
      <w:rFonts w:ascii="Arial" w:hAnsi="Arial" w:eastAsia="Arial" w:cs="Arial"/>
      <w:sz w:val="30"/>
      <w:szCs w:val="30"/>
    </w:rPr>
  </w:style>
  <w:style w:type="character" w:styleId="702" w:customStyle="1">
    <w:name w:val="Заголовок 4 Знак"/>
    <w:link w:val="690"/>
    <w:uiPriority w:val="9"/>
    <w:rPr>
      <w:rFonts w:ascii="Arial" w:hAnsi="Arial" w:eastAsia="Arial" w:cs="Arial"/>
      <w:b/>
      <w:bCs/>
      <w:sz w:val="26"/>
      <w:szCs w:val="26"/>
    </w:rPr>
  </w:style>
  <w:style w:type="character" w:styleId="703" w:customStyle="1">
    <w:name w:val="Заголовок 5 Знак"/>
    <w:link w:val="691"/>
    <w:uiPriority w:val="9"/>
    <w:rPr>
      <w:rFonts w:ascii="Arial" w:hAnsi="Arial" w:eastAsia="Arial" w:cs="Arial"/>
      <w:b/>
      <w:bCs/>
      <w:sz w:val="24"/>
      <w:szCs w:val="24"/>
    </w:rPr>
  </w:style>
  <w:style w:type="character" w:styleId="704" w:customStyle="1">
    <w:name w:val="Заголовок 6 Знак"/>
    <w:link w:val="692"/>
    <w:uiPriority w:val="9"/>
    <w:rPr>
      <w:rFonts w:ascii="Arial" w:hAnsi="Arial" w:eastAsia="Arial" w:cs="Arial"/>
      <w:b/>
      <w:bCs/>
      <w:sz w:val="22"/>
      <w:szCs w:val="22"/>
    </w:rPr>
  </w:style>
  <w:style w:type="character" w:styleId="705" w:customStyle="1">
    <w:name w:val="Заголовок 7 Знак"/>
    <w:link w:val="6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6" w:customStyle="1">
    <w:name w:val="Заголовок 8 Знак"/>
    <w:link w:val="694"/>
    <w:uiPriority w:val="9"/>
    <w:rPr>
      <w:rFonts w:ascii="Arial" w:hAnsi="Arial" w:eastAsia="Arial" w:cs="Arial"/>
      <w:i/>
      <w:iCs/>
      <w:sz w:val="22"/>
      <w:szCs w:val="22"/>
    </w:rPr>
  </w:style>
  <w:style w:type="character" w:styleId="707" w:customStyle="1">
    <w:name w:val="Заголовок 9 Знак"/>
    <w:link w:val="695"/>
    <w:uiPriority w:val="9"/>
    <w:rPr>
      <w:rFonts w:ascii="Arial" w:hAnsi="Arial" w:eastAsia="Arial" w:cs="Arial"/>
      <w:i/>
      <w:iCs/>
      <w:sz w:val="21"/>
      <w:szCs w:val="21"/>
    </w:rPr>
  </w:style>
  <w:style w:type="paragraph" w:styleId="708">
    <w:name w:val="List Paragraph"/>
    <w:basedOn w:val="686"/>
    <w:uiPriority w:val="34"/>
    <w:qFormat/>
    <w:pPr>
      <w:contextualSpacing/>
      <w:ind w:left="720"/>
      <w:spacing w:after="200" w:line="276" w:lineRule="auto"/>
    </w:pPr>
  </w:style>
  <w:style w:type="paragraph" w:styleId="709">
    <w:name w:val="No Spacing"/>
    <w:link w:val="871"/>
    <w:uiPriority w:val="1"/>
    <w:qFormat/>
    <w:rPr>
      <w:rFonts w:eastAsia="Times New Roman"/>
      <w:sz w:val="22"/>
      <w:szCs w:val="22"/>
    </w:rPr>
  </w:style>
  <w:style w:type="paragraph" w:styleId="710">
    <w:name w:val="Title"/>
    <w:basedOn w:val="686"/>
    <w:next w:val="686"/>
    <w:link w:val="7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1" w:customStyle="1">
    <w:name w:val="Заголовок Знак"/>
    <w:link w:val="710"/>
    <w:uiPriority w:val="10"/>
    <w:rPr>
      <w:sz w:val="48"/>
      <w:szCs w:val="48"/>
    </w:rPr>
  </w:style>
  <w:style w:type="paragraph" w:styleId="712">
    <w:name w:val="Subtitle"/>
    <w:basedOn w:val="686"/>
    <w:next w:val="686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 w:customStyle="1">
    <w:name w:val="Подзаголовок Знак"/>
    <w:link w:val="712"/>
    <w:uiPriority w:val="11"/>
    <w:rPr>
      <w:sz w:val="24"/>
      <w:szCs w:val="24"/>
    </w:rPr>
  </w:style>
  <w:style w:type="paragraph" w:styleId="714">
    <w:name w:val="Quote"/>
    <w:basedOn w:val="686"/>
    <w:next w:val="686"/>
    <w:link w:val="715"/>
    <w:uiPriority w:val="29"/>
    <w:qFormat/>
    <w:pPr>
      <w:ind w:left="720" w:right="720"/>
    </w:pPr>
    <w:rPr>
      <w:i/>
    </w:rPr>
  </w:style>
  <w:style w:type="character" w:styleId="715" w:customStyle="1">
    <w:name w:val="Цитата 2 Знак"/>
    <w:link w:val="714"/>
    <w:uiPriority w:val="29"/>
    <w:rPr>
      <w:i/>
    </w:rPr>
  </w:style>
  <w:style w:type="paragraph" w:styleId="716">
    <w:name w:val="Intense Quote"/>
    <w:basedOn w:val="686"/>
    <w:next w:val="686"/>
    <w:link w:val="71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 w:customStyle="1">
    <w:name w:val="Выделенная цитата Знак"/>
    <w:link w:val="716"/>
    <w:uiPriority w:val="30"/>
    <w:rPr>
      <w:i/>
    </w:rPr>
  </w:style>
  <w:style w:type="paragraph" w:styleId="718">
    <w:name w:val="Header"/>
    <w:basedOn w:val="686"/>
    <w:link w:val="7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 w:customStyle="1">
    <w:name w:val="Верхний колонтитул Знак"/>
    <w:link w:val="718"/>
    <w:uiPriority w:val="99"/>
  </w:style>
  <w:style w:type="paragraph" w:styleId="720">
    <w:name w:val="Footer"/>
    <w:basedOn w:val="686"/>
    <w:link w:val="72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1" w:customStyle="1">
    <w:name w:val="Footer Char"/>
    <w:uiPriority w:val="99"/>
  </w:style>
  <w:style w:type="paragraph" w:styleId="722">
    <w:name w:val="Caption"/>
    <w:basedOn w:val="686"/>
    <w:next w:val="686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23" w:customStyle="1">
    <w:name w:val="Нижний колонтитул Знак"/>
    <w:link w:val="720"/>
    <w:uiPriority w:val="99"/>
  </w:style>
  <w:style w:type="table" w:styleId="724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9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30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3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2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3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4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5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8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6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7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15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50">
    <w:name w:val="Hyperlink"/>
    <w:uiPriority w:val="99"/>
    <w:unhideWhenUsed/>
    <w:rPr>
      <w:color w:val="0000ff"/>
      <w:u w:val="single"/>
    </w:rPr>
  </w:style>
  <w:style w:type="paragraph" w:styleId="851">
    <w:name w:val="footnote text"/>
    <w:basedOn w:val="686"/>
    <w:link w:val="852"/>
    <w:uiPriority w:val="99"/>
    <w:semiHidden/>
    <w:unhideWhenUsed/>
    <w:pPr>
      <w:spacing w:after="40" w:line="240" w:lineRule="auto"/>
    </w:pPr>
    <w:rPr>
      <w:sz w:val="18"/>
    </w:rPr>
  </w:style>
  <w:style w:type="character" w:styleId="852" w:customStyle="1">
    <w:name w:val="Текст сноски Знак"/>
    <w:link w:val="851"/>
    <w:uiPriority w:val="99"/>
    <w:rPr>
      <w:sz w:val="18"/>
    </w:rPr>
  </w:style>
  <w:style w:type="character" w:styleId="853">
    <w:name w:val="footnote reference"/>
    <w:uiPriority w:val="99"/>
    <w:unhideWhenUsed/>
    <w:rPr>
      <w:vertAlign w:val="superscript"/>
    </w:rPr>
  </w:style>
  <w:style w:type="paragraph" w:styleId="854">
    <w:name w:val="endnote text"/>
    <w:basedOn w:val="686"/>
    <w:link w:val="855"/>
    <w:uiPriority w:val="99"/>
    <w:semiHidden/>
    <w:unhideWhenUsed/>
    <w:pPr>
      <w:spacing w:after="0" w:line="240" w:lineRule="auto"/>
    </w:pPr>
    <w:rPr>
      <w:sz w:val="20"/>
    </w:rPr>
  </w:style>
  <w:style w:type="character" w:styleId="855" w:customStyle="1">
    <w:name w:val="Текст концевой сноски Знак"/>
    <w:link w:val="854"/>
    <w:uiPriority w:val="99"/>
    <w:rPr>
      <w:sz w:val="20"/>
    </w:rPr>
  </w:style>
  <w:style w:type="character" w:styleId="856">
    <w:name w:val="endnote reference"/>
    <w:uiPriority w:val="99"/>
    <w:semiHidden/>
    <w:unhideWhenUsed/>
    <w:rPr>
      <w:vertAlign w:val="superscript"/>
    </w:rPr>
  </w:style>
  <w:style w:type="paragraph" w:styleId="857">
    <w:name w:val="toc 1"/>
    <w:basedOn w:val="686"/>
    <w:next w:val="686"/>
    <w:uiPriority w:val="39"/>
    <w:unhideWhenUsed/>
    <w:pPr>
      <w:spacing w:after="57"/>
    </w:pPr>
  </w:style>
  <w:style w:type="paragraph" w:styleId="858">
    <w:name w:val="toc 2"/>
    <w:basedOn w:val="686"/>
    <w:next w:val="686"/>
    <w:uiPriority w:val="39"/>
    <w:unhideWhenUsed/>
    <w:pPr>
      <w:ind w:left="283"/>
      <w:spacing w:after="57"/>
    </w:pPr>
  </w:style>
  <w:style w:type="paragraph" w:styleId="859">
    <w:name w:val="toc 3"/>
    <w:basedOn w:val="686"/>
    <w:next w:val="686"/>
    <w:uiPriority w:val="39"/>
    <w:unhideWhenUsed/>
    <w:pPr>
      <w:ind w:left="567"/>
      <w:spacing w:after="57"/>
    </w:pPr>
  </w:style>
  <w:style w:type="paragraph" w:styleId="860">
    <w:name w:val="toc 4"/>
    <w:basedOn w:val="686"/>
    <w:next w:val="686"/>
    <w:uiPriority w:val="39"/>
    <w:unhideWhenUsed/>
    <w:pPr>
      <w:ind w:left="850"/>
      <w:spacing w:after="57"/>
    </w:pPr>
  </w:style>
  <w:style w:type="paragraph" w:styleId="861">
    <w:name w:val="toc 5"/>
    <w:basedOn w:val="686"/>
    <w:next w:val="686"/>
    <w:uiPriority w:val="39"/>
    <w:unhideWhenUsed/>
    <w:pPr>
      <w:ind w:left="1134"/>
      <w:spacing w:after="57"/>
    </w:pPr>
  </w:style>
  <w:style w:type="paragraph" w:styleId="862">
    <w:name w:val="toc 6"/>
    <w:basedOn w:val="686"/>
    <w:next w:val="686"/>
    <w:uiPriority w:val="39"/>
    <w:unhideWhenUsed/>
    <w:pPr>
      <w:ind w:left="1417"/>
      <w:spacing w:after="57"/>
    </w:pPr>
  </w:style>
  <w:style w:type="paragraph" w:styleId="863">
    <w:name w:val="toc 7"/>
    <w:basedOn w:val="686"/>
    <w:next w:val="686"/>
    <w:uiPriority w:val="39"/>
    <w:unhideWhenUsed/>
    <w:pPr>
      <w:ind w:left="1701"/>
      <w:spacing w:after="57"/>
    </w:pPr>
  </w:style>
  <w:style w:type="paragraph" w:styleId="864">
    <w:name w:val="toc 8"/>
    <w:basedOn w:val="686"/>
    <w:next w:val="686"/>
    <w:uiPriority w:val="39"/>
    <w:unhideWhenUsed/>
    <w:pPr>
      <w:ind w:left="1984"/>
      <w:spacing w:after="57"/>
    </w:pPr>
  </w:style>
  <w:style w:type="paragraph" w:styleId="865">
    <w:name w:val="toc 9"/>
    <w:basedOn w:val="686"/>
    <w:next w:val="686"/>
    <w:uiPriority w:val="39"/>
    <w:unhideWhenUsed/>
    <w:pPr>
      <w:ind w:left="2268"/>
      <w:spacing w:after="57"/>
    </w:pPr>
  </w:style>
  <w:style w:type="paragraph" w:styleId="866">
    <w:name w:val="TOC Heading"/>
    <w:uiPriority w:val="39"/>
    <w:unhideWhenUsed/>
    <w:rPr>
      <w:lang w:eastAsia="zh-CN"/>
    </w:rPr>
  </w:style>
  <w:style w:type="paragraph" w:styleId="867">
    <w:name w:val="table of figures"/>
    <w:basedOn w:val="686"/>
    <w:next w:val="686"/>
    <w:uiPriority w:val="99"/>
    <w:unhideWhenUsed/>
    <w:pPr>
      <w:spacing w:after="0"/>
    </w:pPr>
  </w:style>
  <w:style w:type="paragraph" w:styleId="868">
    <w:name w:val="Normal (Web)"/>
    <w:basedOn w:val="686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869">
    <w:name w:val="Balloon Text"/>
    <w:basedOn w:val="686"/>
    <w:link w:val="870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  <w:lang w:val="en-US"/>
    </w:rPr>
  </w:style>
  <w:style w:type="character" w:styleId="870" w:customStyle="1">
    <w:name w:val="Текст выноски Знак"/>
    <w:link w:val="869"/>
    <w:uiPriority w:val="99"/>
    <w:semiHidden/>
    <w:rPr>
      <w:rFonts w:ascii="Segoe UI" w:hAnsi="Segoe UI" w:cs="Segoe UI"/>
      <w:sz w:val="18"/>
      <w:szCs w:val="18"/>
    </w:rPr>
  </w:style>
  <w:style w:type="character" w:styleId="871" w:customStyle="1">
    <w:name w:val="Без интервала Знак"/>
    <w:link w:val="709"/>
    <w:uiPriority w:val="1"/>
    <w:rPr>
      <w:rFonts w:eastAsia="Times New Roman"/>
      <w:sz w:val="22"/>
      <w:szCs w:val="22"/>
      <w:lang w:eastAsia="ru-RU" w:bidi="ar-SA"/>
    </w:rPr>
  </w:style>
  <w:style w:type="character" w:styleId="872">
    <w:name w:val="Strong"/>
    <w:uiPriority w:val="22"/>
    <w:qFormat/>
    <w:rPr>
      <w:b/>
      <w:bCs/>
    </w:rPr>
  </w:style>
  <w:style w:type="character" w:styleId="873">
    <w:name w:val="Emphasis"/>
    <w:uiPriority w:val="20"/>
    <w:qFormat/>
    <w:rPr>
      <w:i/>
      <w:iCs/>
    </w:rPr>
  </w:style>
  <w:style w:type="paragraph" w:styleId="874">
    <w:name w:val="List Bullet"/>
    <w:basedOn w:val="686"/>
    <w:uiPriority w:val="99"/>
    <w:unhideWhenUsed/>
    <w:pPr>
      <w:numPr>
        <w:ilvl w:val="0"/>
        <w:numId w:val="4"/>
      </w:numPr>
      <w:contextualSpacing/>
    </w:pPr>
  </w:style>
  <w:style w:type="character" w:styleId="875" w:customStyle="1">
    <w:name w:val="fontstyle01"/>
    <w:rPr>
      <w:rFonts w:ascii="Times New Roman" w:hAnsi="Times New Roman" w:cs="Times New Roman"/>
      <w:color w:val="000000"/>
      <w:sz w:val="28"/>
      <w:szCs w:val="28"/>
    </w:rPr>
  </w:style>
  <w:style w:type="character" w:styleId="876" w:customStyle="1">
    <w:name w:val="Заголовок 1 Знак"/>
    <w:link w:val="687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877" w:customStyle="1">
    <w:name w:val="Основной текст_"/>
    <w:link w:val="878"/>
    <w:rPr>
      <w:rFonts w:ascii="Times New Roman" w:hAnsi="Times New Roman" w:eastAsia="Times New Roman"/>
      <w:sz w:val="26"/>
      <w:szCs w:val="26"/>
      <w:shd w:val="clear" w:color="auto" w:fill="ffffff"/>
    </w:rPr>
  </w:style>
  <w:style w:type="paragraph" w:styleId="878" w:customStyle="1">
    <w:name w:val="Основной текст2"/>
    <w:basedOn w:val="686"/>
    <w:link w:val="877"/>
    <w:pPr>
      <w:jc w:val="both"/>
      <w:spacing w:before="300" w:after="0" w:line="320" w:lineRule="exact"/>
      <w:shd w:val="clear" w:color="auto" w:fill="ffffff"/>
    </w:pPr>
    <w:rPr>
      <w:rFonts w:ascii="Times New Roman" w:hAnsi="Times New Roman" w:eastAsia="Times New Roman"/>
      <w:sz w:val="26"/>
      <w:szCs w:val="26"/>
      <w:lang w:eastAsia="ru-RU"/>
    </w:rPr>
  </w:style>
  <w:style w:type="character" w:styleId="879" w:customStyle="1">
    <w:name w:val="Основной текст (2)_"/>
    <w:link w:val="882"/>
    <w:rPr>
      <w:sz w:val="19"/>
      <w:szCs w:val="19"/>
      <w:shd w:val="clear" w:color="auto" w:fill="ffffff"/>
    </w:rPr>
  </w:style>
  <w:style w:type="character" w:styleId="880" w:customStyle="1">
    <w:name w:val="Основной текст (3)_"/>
    <w:link w:val="883"/>
    <w:rPr>
      <w:sz w:val="22"/>
      <w:szCs w:val="22"/>
      <w:shd w:val="clear" w:color="auto" w:fill="ffffff"/>
    </w:rPr>
  </w:style>
  <w:style w:type="character" w:styleId="881" w:customStyle="1">
    <w:name w:val="Основной текст (4)_"/>
    <w:link w:val="884"/>
    <w:rPr>
      <w:shd w:val="clear" w:color="auto" w:fill="ffffff"/>
    </w:rPr>
  </w:style>
  <w:style w:type="paragraph" w:styleId="882" w:customStyle="1">
    <w:name w:val="Основной текст (2)"/>
    <w:basedOn w:val="686"/>
    <w:link w:val="879"/>
    <w:pPr>
      <w:spacing w:after="0" w:line="364" w:lineRule="exact"/>
      <w:shd w:val="clear" w:color="auto" w:fill="ffffff"/>
      <w:widowControl w:val="off"/>
    </w:pPr>
    <w:rPr>
      <w:sz w:val="19"/>
      <w:szCs w:val="19"/>
      <w:lang w:eastAsia="ru-RU"/>
    </w:rPr>
  </w:style>
  <w:style w:type="paragraph" w:styleId="883" w:customStyle="1">
    <w:name w:val="Основной текст (3)"/>
    <w:basedOn w:val="686"/>
    <w:link w:val="880"/>
    <w:pPr>
      <w:spacing w:after="0" w:line="240" w:lineRule="atLeast"/>
      <w:shd w:val="clear" w:color="auto" w:fill="ffffff"/>
      <w:widowControl w:val="off"/>
    </w:pPr>
    <w:rPr>
      <w:lang w:eastAsia="ru-RU"/>
    </w:rPr>
  </w:style>
  <w:style w:type="paragraph" w:styleId="884" w:customStyle="1">
    <w:name w:val="Основной текст (4)"/>
    <w:basedOn w:val="686"/>
    <w:link w:val="881"/>
    <w:pPr>
      <w:spacing w:after="0" w:line="240" w:lineRule="atLeast"/>
      <w:shd w:val="clear" w:color="auto" w:fill="ffffff"/>
      <w:widowControl w:val="off"/>
    </w:pPr>
    <w:rPr>
      <w:sz w:val="20"/>
      <w:szCs w:val="20"/>
      <w:lang w:eastAsia="ru-RU"/>
    </w:rPr>
  </w:style>
  <w:style w:type="paragraph" w:styleId="885" w:customStyle="1">
    <w:name w:val="block__block-3c"/>
    <w:basedOn w:val="686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Миронова Мария Сергеевна</dc:creator>
  <cp:revision>274</cp:revision>
  <dcterms:created xsi:type="dcterms:W3CDTF">2023-01-18T04:28:00Z</dcterms:created>
  <dcterms:modified xsi:type="dcterms:W3CDTF">2025-08-08T02:09:41Z</dcterms:modified>
  <cp:version>1048576</cp:version>
</cp:coreProperties>
</file>