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624C0F" w:rsidRDefault="00624C0F" w:rsidP="00624C0F">
      <w:pPr>
        <w:ind w:firstLine="708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Специалисты Кадастровой палаты по Республике Хакасия консультируют органы местного самоуправления</w:t>
      </w:r>
    </w:p>
    <w:p w:rsidR="00624C0F" w:rsidRDefault="00624C0F" w:rsidP="00624C0F">
      <w:pPr>
        <w:ind w:firstLine="708"/>
        <w:jc w:val="both"/>
        <w:rPr>
          <w:rFonts w:ascii="Segoe UI" w:hAnsi="Segoe UI" w:cs="Segoe UI"/>
          <w:sz w:val="28"/>
          <w:szCs w:val="28"/>
        </w:rPr>
      </w:pPr>
    </w:p>
    <w:p w:rsidR="00624C0F" w:rsidRDefault="00624C0F" w:rsidP="00624C0F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21  мая 2019 года в селе Бея Республики Хакасия специалисты Кадастровой палаты по Республике Хакасия (РХ) и Управления Росреестра РХ провели «Рабочую встречу» с органами местного самоуправления по вопросу реализации Плана мероприятий («Дорожная карта») по целевой модели «Постановка на кадастровый учет земельных участков и объектов недвижимого имущества».</w:t>
      </w:r>
    </w:p>
    <w:p w:rsidR="00624C0F" w:rsidRDefault="00624C0F" w:rsidP="00624C0F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Поводом организации встречи послужили вопросы в связи с изменениями в законодательстве, внесенными Федеральным законом от 03.08.2018 № 340-ФЗ «О внесении изменений в Градостроительный кодекс Российской Федерации и отдельные законодательные акты Российской Федерации». По этому вопросу выступила Наталья Кочнева – начальник отдела обработки документов и обеспечения учетных действий Кадастровой палаты по Республике Хакасия.</w:t>
      </w:r>
    </w:p>
    <w:p w:rsidR="00624C0F" w:rsidRDefault="00624C0F" w:rsidP="00624C0F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Более детально рассматривались изменения в законодательстве в отношении зон с особыми условиями использования территории. На все интересующие вопросы участников «Рабочей встречи» ответила заместитель начальника отдела ведения ЕГРН, нормализации баз данных, инфраструктуры пространственных данных Кадастровой палаты Хакасии Ольга </w:t>
      </w:r>
      <w:proofErr w:type="spellStart"/>
      <w:r>
        <w:rPr>
          <w:rFonts w:ascii="Segoe UI" w:hAnsi="Segoe UI" w:cs="Segoe UI"/>
          <w:sz w:val="24"/>
          <w:szCs w:val="24"/>
        </w:rPr>
        <w:t>Барковская</w:t>
      </w:r>
      <w:proofErr w:type="spellEnd"/>
      <w:r>
        <w:rPr>
          <w:rFonts w:ascii="Segoe UI" w:hAnsi="Segoe UI" w:cs="Segoe UI"/>
          <w:sz w:val="24"/>
          <w:szCs w:val="24"/>
        </w:rPr>
        <w:t>.</w:t>
      </w:r>
    </w:p>
    <w:p w:rsidR="00624C0F" w:rsidRDefault="00624C0F" w:rsidP="00624C0F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Как правило, зоны с особыми условиями использования территории создаются с целью обеспечения безопасности населения от негативного воздействия производственной деятельности, а также для поддержания условий охраны памятников природы, культуры и истории.</w:t>
      </w:r>
    </w:p>
    <w:p w:rsidR="005B3BCD" w:rsidRPr="007405CF" w:rsidRDefault="00DC03C0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DC03C0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DC03C0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</w:t>
        </w:r>
        <w:proofErr w:type="spellEnd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</w:t>
        </w:r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Segoe U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703B4"/>
    <w:rsid w:val="005B3BCD"/>
    <w:rsid w:val="00624C0F"/>
    <w:rsid w:val="008F10F7"/>
    <w:rsid w:val="00B10C30"/>
    <w:rsid w:val="00B73CC0"/>
    <w:rsid w:val="00DC0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0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2019-05-22T08:18:00Z</dcterms:modified>
</cp:coreProperties>
</file>