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line="240" w:lineRule="auto"/>
        <w:ind w:firstLine="709"/>
        <w:jc w:val="center"/>
        <w:rPr>
          <w:rFonts w:ascii="Times New Roman" w:hAnsi="Times New Roman"/>
          <w:b w:val="1"/>
          <w:sz w:val="28"/>
        </w:rPr>
      </w:pPr>
      <w:r>
        <w:rPr>
          <w:rFonts w:ascii="Times New Roman" w:hAnsi="Times New Roman"/>
          <w:b w:val="1"/>
          <w:sz w:val="28"/>
        </w:rPr>
        <w:t>Уголовная ответственность за фиктивную постановку на учет иностранного гражданина или лица без гражданства</w:t>
      </w:r>
    </w:p>
    <w:p w14:paraId="02000000">
      <w:pPr>
        <w:widowControl w:val="1"/>
        <w:spacing w:after="0"/>
        <w:ind w:firstLine="709"/>
        <w:jc w:val="both"/>
        <w:rPr>
          <w:rFonts w:ascii="Times New Roman" w:hAnsi="Times New Roman"/>
          <w:sz w:val="28"/>
        </w:rPr>
      </w:pPr>
      <w:r>
        <w:rPr>
          <w:rFonts w:ascii="Times New Roman" w:hAnsi="Times New Roman"/>
          <w:sz w:val="28"/>
        </w:rPr>
        <w:t>За нарушение требований миграционного законодательства Российской Федерации, связанное с фиктивной регистрацией и постановкой на учет иностранных граждан, предусмотрена уголовная ответственность, установленная статьей 322.3 УК РФ.</w:t>
      </w:r>
    </w:p>
    <w:p w14:paraId="03000000">
      <w:pPr>
        <w:widowControl w:val="1"/>
        <w:spacing w:after="0"/>
        <w:ind w:firstLine="709"/>
        <w:jc w:val="both"/>
        <w:rPr>
          <w:rFonts w:ascii="Times New Roman" w:hAnsi="Times New Roman"/>
          <w:sz w:val="28"/>
        </w:rPr>
      </w:pPr>
      <w:r>
        <w:rPr>
          <w:rFonts w:ascii="Times New Roman" w:hAnsi="Times New Roman"/>
          <w:sz w:val="28"/>
        </w:rPr>
        <w:t>Под фиктивной постановкой иностранного гражданина или лица без гражданства на учет по месту пребывания понимается фиксация в установленном порядке органами миграционного учета факта его нахождения в месте пребывания в помещении на территории Российской Федерации на основании представленных в эти органы заведомо недостоверных сведений или документов, либо при отсутствии у этих лиц намерения фактически проживать (пребывать) в указанном помещении, а также отсутствии у принимающей стороны намерения предоставить им это помещение, либо в фиксации факта нахождения иностранного гражданина или лица без гражданства в месте пребывания по адресу организации, в которой они не осуществляют трудовую или иную деятельность.</w:t>
      </w:r>
    </w:p>
    <w:p w14:paraId="04000000">
      <w:pPr>
        <w:widowControl w:val="1"/>
        <w:spacing w:after="0"/>
        <w:ind w:firstLine="709"/>
        <w:jc w:val="both"/>
        <w:rPr>
          <w:rFonts w:ascii="Times New Roman" w:hAnsi="Times New Roman"/>
          <w:sz w:val="28"/>
        </w:rPr>
      </w:pPr>
      <w:r>
        <w:rPr>
          <w:rFonts w:ascii="Times New Roman" w:hAnsi="Times New Roman"/>
          <w:sz w:val="28"/>
        </w:rPr>
        <w:t>Деяние, предусмотренное ст. 322.3 УК РФ, квалифицируется как оконченное преступление с момента фиксации органами регистрационного (миграционного) учета указанных фактов.</w:t>
      </w:r>
    </w:p>
    <w:p w14:paraId="05000000">
      <w:pPr>
        <w:widowControl w:val="1"/>
        <w:spacing w:after="0"/>
        <w:ind w:firstLine="709"/>
        <w:jc w:val="both"/>
        <w:rPr>
          <w:rFonts w:ascii="Times New Roman" w:hAnsi="Times New Roman"/>
          <w:sz w:val="28"/>
        </w:rPr>
      </w:pPr>
      <w:r>
        <w:rPr>
          <w:rFonts w:ascii="Times New Roman" w:hAnsi="Times New Roman"/>
          <w:sz w:val="28"/>
        </w:rPr>
        <w:t xml:space="preserve">Примечанием к данной статье также предусмотрена возможность освобождения лица от уголовной ответственности, если оно способствовало раскрытию этого преступления </w:t>
      </w:r>
      <w:r>
        <w:rPr>
          <w:rFonts w:ascii="Times New Roman" w:hAnsi="Times New Roman"/>
          <w:sz w:val="28"/>
        </w:rPr>
        <w:t>и</w:t>
      </w:r>
      <w:r>
        <w:rPr>
          <w:rFonts w:ascii="Times New Roman" w:hAnsi="Times New Roman"/>
          <w:sz w:val="28"/>
        </w:rPr>
        <w:t xml:space="preserve"> если в его действиях не содержится иного состава преступления.</w:t>
      </w:r>
    </w:p>
    <w:p w14:paraId="06000000">
      <w:pPr>
        <w:widowControl w:val="1"/>
        <w:spacing w:after="0"/>
        <w:ind w:firstLine="709"/>
        <w:jc w:val="both"/>
        <w:rPr>
          <w:rFonts w:ascii="Times New Roman" w:hAnsi="Times New Roman"/>
          <w:sz w:val="28"/>
        </w:rPr>
      </w:pPr>
      <w:r>
        <w:rPr>
          <w:rFonts w:ascii="Times New Roman" w:hAnsi="Times New Roman"/>
          <w:sz w:val="28"/>
        </w:rPr>
        <w:t>Преступление, предусмотренное статьей 322.3 УК РФ, относится к категории средней тяжести. За его совершение предусмотрена уголовная ответственность в виде штрафа в размере от ста тысяч до пятисот тысяч рублей или в размере заработной платы или иного дохода осужденного за период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пяти лет с лишением права занимать определенные должности или деятельностью на срок до пяти лет или без такового.</w:t>
      </w:r>
    </w:p>
    <w:p w14:paraId="07000000">
      <w:pPr>
        <w:widowControl w:val="1"/>
        <w:spacing w:after="0"/>
        <w:ind/>
        <w:jc w:val="both"/>
        <w:rPr>
          <w:rFonts w:ascii="Times New Roman" w:hAnsi="Times New Roman"/>
          <w:sz w:val="28"/>
        </w:rPr>
      </w:pPr>
    </w:p>
    <w:p w14:paraId="08000000">
      <w:pPr>
        <w:widowControl w:val="1"/>
        <w:ind/>
        <w:jc w:val="both"/>
        <w:rPr>
          <w:rFonts w:ascii="Times New Roman" w:hAnsi="Times New Roman"/>
          <w:sz w:val="28"/>
        </w:rPr>
      </w:pPr>
    </w:p>
    <w:p w14:paraId="09000000">
      <w:pPr>
        <w:widowControl w:val="1"/>
        <w:ind/>
        <w:jc w:val="both"/>
        <w:rPr>
          <w:rFonts w:ascii="Times New Roman" w:hAnsi="Times New Roman"/>
          <w:sz w:val="28"/>
        </w:rPr>
      </w:pPr>
    </w:p>
    <w:p w14:paraId="0A000000">
      <w:pPr>
        <w:widowControl w:val="1"/>
        <w:ind/>
        <w:jc w:val="both"/>
        <w:rPr>
          <w:rFonts w:ascii="Times New Roman" w:hAnsi="Times New Roman"/>
          <w:sz w:val="28"/>
        </w:rPr>
      </w:pPr>
    </w:p>
    <w:p w14:paraId="0B000000">
      <w:pPr>
        <w:widowControl w:val="1"/>
        <w:ind/>
        <w:jc w:val="both"/>
        <w:rPr>
          <w:rFonts w:ascii="Times New Roman" w:hAnsi="Times New Roman"/>
          <w:sz w:val="28"/>
        </w:rPr>
      </w:pPr>
    </w:p>
    <w:p w14:paraId="0C000000">
      <w:pPr>
        <w:widowControl w:val="1"/>
        <w:spacing w:after="0" w:line="240" w:lineRule="auto"/>
        <w:ind w:firstLine="709"/>
        <w:jc w:val="both"/>
        <w:rPr>
          <w:rFonts w:ascii="Times New Roman" w:hAnsi="Times New Roman"/>
          <w:b w:val="1"/>
          <w:sz w:val="28"/>
        </w:rPr>
      </w:pPr>
      <w:r>
        <w:rPr>
          <w:rFonts w:ascii="Times New Roman" w:hAnsi="Times New Roman"/>
          <w:b w:val="1"/>
          <w:sz w:val="28"/>
        </w:rPr>
        <w:t>Особенности признания недействительным решения общего собрания собственников помещений в многоквартирном доме</w:t>
      </w:r>
    </w:p>
    <w:p w14:paraId="0D000000">
      <w:pPr>
        <w:widowControl w:val="1"/>
        <w:spacing w:after="0" w:line="240" w:lineRule="auto"/>
        <w:ind w:firstLine="709"/>
        <w:jc w:val="center"/>
        <w:rPr>
          <w:rFonts w:ascii="Times New Roman" w:hAnsi="Times New Roman"/>
          <w:b w:val="1"/>
          <w:sz w:val="28"/>
        </w:rPr>
      </w:pPr>
    </w:p>
    <w:p w14:paraId="0E000000">
      <w:pPr>
        <w:widowControl w:val="1"/>
        <w:spacing w:after="0" w:line="240" w:lineRule="auto"/>
        <w:ind w:firstLine="709"/>
        <w:jc w:val="both"/>
        <w:rPr>
          <w:rFonts w:ascii="Times New Roman" w:hAnsi="Times New Roman"/>
          <w:sz w:val="28"/>
        </w:rPr>
      </w:pPr>
      <w:r>
        <w:rPr>
          <w:rFonts w:ascii="Times New Roman" w:hAnsi="Times New Roman"/>
          <w:sz w:val="28"/>
        </w:rPr>
        <w:t>В соответствии с пунктом 108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к нарушениям порядка принятия решения в том числе могут быть отнесены нарушения, касающиеся созыва, подготовки, проведения собрания, осуществления процедуры голосования.</w:t>
      </w:r>
    </w:p>
    <w:p w14:paraId="0F000000">
      <w:pPr>
        <w:widowControl w:val="1"/>
        <w:spacing w:after="0" w:line="240" w:lineRule="auto"/>
        <w:ind w:firstLine="709"/>
        <w:jc w:val="both"/>
        <w:rPr>
          <w:rFonts w:ascii="Times New Roman" w:hAnsi="Times New Roman"/>
          <w:sz w:val="28"/>
        </w:rPr>
      </w:pPr>
      <w:r>
        <w:rPr>
          <w:rFonts w:ascii="Times New Roman" w:hAnsi="Times New Roman"/>
          <w:sz w:val="28"/>
        </w:rPr>
        <w:t>Согласно пункту 1 статьи 181.3 ГК РФ решение собрания недействительно по основаниям, установленным ГК РФ или иными законами, в силу признания его таковым судом (оспоримое решение) или независимо от такого признания (ничтожное решение). Недействительное решение собрания оспоримо, если из закона не следует, что решение ничтожно. Признаки ничтожности решения собрания установлены статьей 181.5 ГК РФ, в состав таких признаков нарушение порядка проведения собрания не включено. Таким образом, решение общего собрания собственников помещений в многоквартирном доме (далее - ОСС, МКД соответственно), принятое с нарушением порядка проведения ОСС, установленного статьей 45 ЖК РФ, не является ничтожным и может быть признано недействительным только решением суда. Также отмечается, что отсутствие в письменном решении (бюллетене) собственника помещения в МКД указания СНИЛС не приводит к недействительности такого решения (бюллетеня).</w:t>
      </w:r>
    </w:p>
    <w:p w14:paraId="10000000">
      <w:pPr>
        <w:widowControl w:val="1"/>
        <w:spacing w:after="0" w:line="240" w:lineRule="auto"/>
        <w:ind w:firstLine="709"/>
        <w:jc w:val="both"/>
        <w:rPr>
          <w:rFonts w:ascii="Times New Roman" w:hAnsi="Times New Roman"/>
          <w:sz w:val="28"/>
        </w:rPr>
      </w:pPr>
      <w:r>
        <w:rPr>
          <w:rFonts w:ascii="Times New Roman" w:hAnsi="Times New Roman"/>
          <w:sz w:val="28"/>
        </w:rPr>
        <w:t>Согласно части 3 статьи 45 ЖК РФ ОСС является неправомочным (не имеет кворума), если в нем приняли участие собственники помещений или их представители, обладающие не более чем 50% голосов от общего числа голосов собственников помещений в МКД.</w:t>
      </w:r>
    </w:p>
    <w:p w14:paraId="11000000">
      <w:pPr>
        <w:widowControl w:val="1"/>
        <w:spacing w:after="0" w:line="240" w:lineRule="auto"/>
        <w:ind w:firstLine="709"/>
        <w:jc w:val="both"/>
        <w:rPr>
          <w:rFonts w:ascii="Times New Roman" w:hAnsi="Times New Roman"/>
          <w:sz w:val="28"/>
        </w:rPr>
      </w:pPr>
      <w:r>
        <w:rPr>
          <w:rFonts w:ascii="Times New Roman" w:hAnsi="Times New Roman"/>
          <w:sz w:val="28"/>
        </w:rPr>
        <w:t>Решение ОСС считается непринятым, если оно принято по вопросу, не включенному в повестку дня, за исключением случая, когда в собрании участвовали все собственники помещений в доме (часть 2 статьи 46 ЖК РФ).</w:t>
      </w:r>
    </w:p>
    <w:p w14:paraId="12000000">
      <w:pPr>
        <w:widowControl w:val="1"/>
        <w:spacing w:after="0" w:line="240" w:lineRule="auto"/>
        <w:ind w:firstLine="709"/>
        <w:jc w:val="both"/>
        <w:rPr>
          <w:rFonts w:ascii="Times New Roman" w:hAnsi="Times New Roman"/>
          <w:sz w:val="28"/>
        </w:rPr>
      </w:pPr>
      <w:r>
        <w:rPr>
          <w:rFonts w:ascii="Times New Roman" w:hAnsi="Times New Roman"/>
          <w:sz w:val="28"/>
        </w:rPr>
        <w:t>Также решение не считается принятым, если при голосовании не было достигнуто необходимое большинство голосов в зависимости от вида решения.</w:t>
      </w:r>
    </w:p>
    <w:p w14:paraId="13000000">
      <w:pPr>
        <w:widowControl w:val="1"/>
        <w:ind/>
        <w:jc w:val="both"/>
        <w:rPr>
          <w:rFonts w:ascii="Times New Roman" w:hAnsi="Times New Roman"/>
          <w:sz w:val="28"/>
        </w:rPr>
      </w:pPr>
    </w:p>
    <w:p w14:paraId="14000000">
      <w:pPr>
        <w:widowControl w:val="1"/>
        <w:ind/>
        <w:jc w:val="both"/>
        <w:rPr>
          <w:rFonts w:ascii="Times New Roman" w:hAnsi="Times New Roman"/>
          <w:sz w:val="28"/>
        </w:rPr>
      </w:pPr>
    </w:p>
    <w:p w14:paraId="15000000">
      <w:pPr>
        <w:widowControl w:val="1"/>
        <w:ind/>
        <w:jc w:val="both"/>
        <w:rPr>
          <w:rFonts w:ascii="Times New Roman" w:hAnsi="Times New Roman"/>
          <w:sz w:val="28"/>
        </w:rPr>
      </w:pPr>
    </w:p>
    <w:p w14:paraId="16000000">
      <w:pPr>
        <w:widowControl w:val="1"/>
        <w:ind/>
        <w:jc w:val="both"/>
        <w:rPr>
          <w:rFonts w:ascii="Times New Roman" w:hAnsi="Times New Roman"/>
          <w:sz w:val="28"/>
        </w:rPr>
      </w:pPr>
    </w:p>
    <w:p w14:paraId="17000000">
      <w:pPr>
        <w:widowControl w:val="1"/>
        <w:ind/>
        <w:jc w:val="both"/>
        <w:rPr>
          <w:rFonts w:ascii="Times New Roman" w:hAnsi="Times New Roman"/>
          <w:sz w:val="28"/>
        </w:rPr>
      </w:pPr>
    </w:p>
    <w:p w14:paraId="18000000">
      <w:pPr>
        <w:widowControl w:val="1"/>
        <w:ind/>
        <w:jc w:val="both"/>
        <w:rPr>
          <w:rFonts w:ascii="Times New Roman" w:hAnsi="Times New Roman"/>
          <w:sz w:val="28"/>
        </w:rPr>
      </w:pPr>
    </w:p>
    <w:p w14:paraId="19000000">
      <w:pPr>
        <w:widowControl w:val="1"/>
        <w:ind/>
        <w:jc w:val="both"/>
        <w:rPr>
          <w:rFonts w:ascii="Times New Roman" w:hAnsi="Times New Roman"/>
          <w:sz w:val="28"/>
        </w:rPr>
      </w:pPr>
    </w:p>
    <w:p w14:paraId="1A000000">
      <w:pPr>
        <w:widowControl w:val="1"/>
        <w:ind/>
        <w:jc w:val="both"/>
        <w:rPr>
          <w:rFonts w:ascii="Times New Roman" w:hAnsi="Times New Roman"/>
          <w:sz w:val="28"/>
        </w:rPr>
      </w:pPr>
    </w:p>
    <w:p w14:paraId="1B000000">
      <w:pPr>
        <w:widowControl w:val="1"/>
        <w:spacing w:after="0" w:line="240" w:lineRule="auto"/>
        <w:ind w:firstLine="709"/>
        <w:jc w:val="both"/>
        <w:rPr>
          <w:rFonts w:ascii="Times New Roman" w:hAnsi="Times New Roman"/>
          <w:b w:val="1"/>
          <w:sz w:val="28"/>
        </w:rPr>
      </w:pPr>
      <w:r>
        <w:rPr>
          <w:rFonts w:ascii="Times New Roman" w:hAnsi="Times New Roman"/>
          <w:b w:val="1"/>
          <w:sz w:val="28"/>
        </w:rPr>
        <w:t xml:space="preserve">Обязан ли действующий сотрудник, подтвердивший отсутствие судимости, ежегодно предоставлять работодателю справку об отсутствии судимости? </w:t>
      </w:r>
    </w:p>
    <w:p w14:paraId="1C000000">
      <w:pPr>
        <w:widowControl w:val="1"/>
        <w:spacing w:after="0" w:line="240" w:lineRule="auto"/>
        <w:ind w:firstLine="709"/>
        <w:jc w:val="both"/>
        <w:rPr>
          <w:rFonts w:ascii="Times New Roman" w:hAnsi="Times New Roman"/>
          <w:b w:val="1"/>
          <w:sz w:val="28"/>
        </w:rPr>
      </w:pPr>
    </w:p>
    <w:p w14:paraId="1D000000">
      <w:pPr>
        <w:widowControl w:val="1"/>
        <w:spacing w:after="0" w:line="240" w:lineRule="auto"/>
        <w:ind w:firstLine="709"/>
        <w:jc w:val="both"/>
        <w:rPr>
          <w:rFonts w:ascii="Times New Roman" w:hAnsi="Times New Roman"/>
          <w:sz w:val="28"/>
        </w:rPr>
      </w:pPr>
      <w:r>
        <w:rPr>
          <w:rFonts w:ascii="Times New Roman" w:hAnsi="Times New Roman"/>
          <w:sz w:val="28"/>
        </w:rPr>
        <w:t>По общему правилу при заключении трудового договора лицо, поступающее на работу, связанную с деятельностью, к осуществлению которой не допускаются лица, имеющие или имевшие судимость, подвергающиеся или подвергавшиеся уголовному преследованию, предъявляет работодателю в том числе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(ч. 1 ст. 65 Трудового кодекса РФ).</w:t>
      </w:r>
    </w:p>
    <w:p w14:paraId="1E000000">
      <w:pPr>
        <w:widowControl w:val="1"/>
        <w:spacing w:after="0" w:line="240" w:lineRule="auto"/>
        <w:ind w:firstLine="709"/>
        <w:jc w:val="both"/>
        <w:rPr>
          <w:rFonts w:ascii="Times New Roman" w:hAnsi="Times New Roman"/>
          <w:sz w:val="28"/>
        </w:rPr>
      </w:pPr>
      <w:r>
        <w:rPr>
          <w:rFonts w:ascii="Times New Roman" w:hAnsi="Times New Roman"/>
          <w:sz w:val="28"/>
        </w:rPr>
        <w:t>Таким образом, требование работодателя неправомерно, поскольку обязанность сотрудников после приема на работу ежегодно подтверждать отсутствие у них судимости новой справкой трудовым законодательством не предусмотрена.</w:t>
      </w:r>
    </w:p>
    <w:p w14:paraId="1F000000">
      <w:pPr>
        <w:widowControl w:val="1"/>
        <w:ind/>
        <w:jc w:val="both"/>
        <w:rPr>
          <w:rFonts w:ascii="Times New Roman" w:hAnsi="Times New Roman"/>
          <w:sz w:val="28"/>
        </w:rPr>
      </w:pPr>
    </w:p>
    <w:p w14:paraId="20000000">
      <w:pPr>
        <w:widowControl w:val="1"/>
        <w:ind/>
        <w:jc w:val="both"/>
        <w:rPr>
          <w:rFonts w:ascii="Times New Roman" w:hAnsi="Times New Roman"/>
          <w:sz w:val="28"/>
        </w:rPr>
      </w:pPr>
    </w:p>
    <w:p w14:paraId="21000000">
      <w:pPr>
        <w:widowControl w:val="1"/>
        <w:ind/>
        <w:jc w:val="both"/>
        <w:rPr>
          <w:rFonts w:ascii="Times New Roman" w:hAnsi="Times New Roman"/>
          <w:sz w:val="28"/>
        </w:rPr>
      </w:pPr>
    </w:p>
    <w:p w14:paraId="22000000">
      <w:pPr>
        <w:widowControl w:val="1"/>
        <w:ind/>
        <w:jc w:val="both"/>
        <w:rPr>
          <w:rFonts w:ascii="Times New Roman" w:hAnsi="Times New Roman"/>
          <w:sz w:val="28"/>
        </w:rPr>
      </w:pPr>
    </w:p>
    <w:p w14:paraId="23000000">
      <w:pPr>
        <w:widowControl w:val="1"/>
        <w:ind/>
        <w:jc w:val="both"/>
        <w:rPr>
          <w:rFonts w:ascii="Times New Roman" w:hAnsi="Times New Roman"/>
          <w:sz w:val="28"/>
        </w:rPr>
      </w:pPr>
    </w:p>
    <w:p w14:paraId="24000000">
      <w:pPr>
        <w:widowControl w:val="1"/>
        <w:ind/>
        <w:jc w:val="both"/>
        <w:rPr>
          <w:rFonts w:ascii="Times New Roman" w:hAnsi="Times New Roman"/>
          <w:sz w:val="28"/>
        </w:rPr>
      </w:pPr>
    </w:p>
    <w:p w14:paraId="25000000">
      <w:pPr>
        <w:widowControl w:val="1"/>
        <w:ind/>
        <w:jc w:val="both"/>
        <w:rPr>
          <w:rFonts w:ascii="Times New Roman" w:hAnsi="Times New Roman"/>
          <w:sz w:val="28"/>
        </w:rPr>
      </w:pPr>
    </w:p>
    <w:p w14:paraId="26000000">
      <w:pPr>
        <w:widowControl w:val="1"/>
        <w:ind/>
        <w:jc w:val="both"/>
        <w:rPr>
          <w:rFonts w:ascii="Times New Roman" w:hAnsi="Times New Roman"/>
          <w:sz w:val="28"/>
        </w:rPr>
      </w:pPr>
    </w:p>
    <w:p w14:paraId="27000000">
      <w:pPr>
        <w:widowControl w:val="1"/>
        <w:ind/>
        <w:jc w:val="both"/>
        <w:rPr>
          <w:rFonts w:ascii="Times New Roman" w:hAnsi="Times New Roman"/>
          <w:sz w:val="28"/>
        </w:rPr>
      </w:pPr>
    </w:p>
    <w:p w14:paraId="28000000">
      <w:pPr>
        <w:widowControl w:val="1"/>
        <w:ind/>
        <w:jc w:val="both"/>
        <w:rPr>
          <w:rFonts w:ascii="Times New Roman" w:hAnsi="Times New Roman"/>
          <w:sz w:val="28"/>
        </w:rPr>
      </w:pPr>
    </w:p>
    <w:p w14:paraId="29000000">
      <w:pPr>
        <w:widowControl w:val="1"/>
        <w:ind/>
        <w:jc w:val="both"/>
        <w:rPr>
          <w:rFonts w:ascii="Times New Roman" w:hAnsi="Times New Roman"/>
          <w:sz w:val="28"/>
        </w:rPr>
      </w:pPr>
    </w:p>
    <w:p w14:paraId="2A000000">
      <w:pPr>
        <w:widowControl w:val="1"/>
        <w:ind/>
        <w:jc w:val="both"/>
        <w:rPr>
          <w:rFonts w:ascii="Times New Roman" w:hAnsi="Times New Roman"/>
          <w:sz w:val="28"/>
        </w:rPr>
      </w:pPr>
    </w:p>
    <w:p w14:paraId="2B000000">
      <w:pPr>
        <w:widowControl w:val="1"/>
        <w:ind/>
        <w:jc w:val="both"/>
        <w:rPr>
          <w:rFonts w:ascii="Times New Roman" w:hAnsi="Times New Roman"/>
          <w:sz w:val="28"/>
        </w:rPr>
      </w:pPr>
    </w:p>
    <w:p w14:paraId="2C000000">
      <w:pPr>
        <w:widowControl w:val="1"/>
        <w:ind/>
        <w:jc w:val="both"/>
        <w:rPr>
          <w:rFonts w:ascii="Times New Roman" w:hAnsi="Times New Roman"/>
          <w:sz w:val="28"/>
        </w:rPr>
      </w:pPr>
    </w:p>
    <w:p w14:paraId="2D000000">
      <w:pPr>
        <w:widowControl w:val="1"/>
        <w:ind/>
        <w:jc w:val="both"/>
        <w:rPr>
          <w:rFonts w:ascii="Times New Roman" w:hAnsi="Times New Roman"/>
          <w:sz w:val="28"/>
        </w:rPr>
      </w:pPr>
    </w:p>
    <w:p w14:paraId="2E000000">
      <w:pPr>
        <w:widowControl w:val="1"/>
        <w:ind/>
        <w:jc w:val="both"/>
        <w:rPr>
          <w:rFonts w:ascii="Times New Roman" w:hAnsi="Times New Roman"/>
          <w:sz w:val="28"/>
        </w:rPr>
      </w:pPr>
    </w:p>
    <w:p w14:paraId="2F000000">
      <w:pPr>
        <w:widowControl w:val="1"/>
        <w:ind/>
        <w:jc w:val="both"/>
        <w:rPr>
          <w:rFonts w:ascii="Times New Roman" w:hAnsi="Times New Roman"/>
          <w:sz w:val="28"/>
        </w:rPr>
      </w:pPr>
    </w:p>
    <w:p w14:paraId="30000000">
      <w:pPr>
        <w:widowControl w:val="1"/>
        <w:ind/>
        <w:jc w:val="both"/>
        <w:rPr>
          <w:rFonts w:ascii="Times New Roman" w:hAnsi="Times New Roman"/>
          <w:sz w:val="28"/>
        </w:rPr>
      </w:pPr>
    </w:p>
    <w:p w14:paraId="31000000">
      <w:pPr>
        <w:widowControl w:val="1"/>
        <w:spacing w:after="0" w:line="240" w:lineRule="auto"/>
        <w:ind w:firstLine="709"/>
        <w:jc w:val="both"/>
        <w:rPr>
          <w:rFonts w:ascii="Times New Roman" w:hAnsi="Times New Roman"/>
          <w:b w:val="1"/>
          <w:sz w:val="28"/>
        </w:rPr>
      </w:pPr>
      <w:r>
        <w:rPr>
          <w:rFonts w:ascii="Times New Roman" w:hAnsi="Times New Roman"/>
          <w:b w:val="1"/>
          <w:sz w:val="28"/>
        </w:rPr>
        <w:t>Уголовная ответственность за заведомо ложное сообщение об акте терроризма</w:t>
      </w:r>
    </w:p>
    <w:p w14:paraId="32000000">
      <w:pPr>
        <w:widowControl w:val="1"/>
        <w:spacing w:after="0" w:line="240" w:lineRule="auto"/>
        <w:ind w:firstLine="709"/>
        <w:jc w:val="both"/>
        <w:rPr>
          <w:rFonts w:ascii="Times New Roman" w:hAnsi="Times New Roman"/>
          <w:b w:val="1"/>
          <w:sz w:val="28"/>
        </w:rPr>
      </w:pPr>
    </w:p>
    <w:p w14:paraId="33000000">
      <w:pPr>
        <w:widowControl w:val="1"/>
        <w:spacing w:after="0" w:line="240" w:lineRule="auto"/>
        <w:ind w:firstLine="709"/>
        <w:jc w:val="both"/>
        <w:rPr>
          <w:rFonts w:ascii="Times New Roman" w:hAnsi="Times New Roman"/>
          <w:sz w:val="28"/>
        </w:rPr>
      </w:pPr>
      <w:r>
        <w:rPr>
          <w:rFonts w:ascii="Times New Roman" w:hAnsi="Times New Roman"/>
          <w:sz w:val="28"/>
        </w:rPr>
        <w:t>Статьей 207 Уголовного кодекса Российской Федерации установлена уголовная ответственность за 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совершенное из хулиганских побуждений.</w:t>
      </w:r>
    </w:p>
    <w:p w14:paraId="34000000">
      <w:pPr>
        <w:widowControl w:val="1"/>
        <w:spacing w:after="0" w:line="240" w:lineRule="auto"/>
        <w:ind w:firstLine="709"/>
        <w:jc w:val="both"/>
        <w:rPr>
          <w:rFonts w:ascii="Times New Roman" w:hAnsi="Times New Roman"/>
          <w:sz w:val="28"/>
        </w:rPr>
      </w:pPr>
      <w:r>
        <w:rPr>
          <w:rFonts w:ascii="Times New Roman" w:hAnsi="Times New Roman"/>
          <w:sz w:val="28"/>
        </w:rPr>
        <w:t>Квалифицированный состав предполагает ответственность за ложное сообщение об акте терроризма, совершенное в отношении объектов социальной инфраструктуры либо повлекшее причинение крупного ущерба, а также создающее опасность гибели людей, причинения значительного имущественного ущерба либо наступления иных общественно опасных последствий в целях дестабилизации деятельности органов власти, а также повлекшие по неосторожности смерть человека или иные тяжкие последствия.</w:t>
      </w:r>
    </w:p>
    <w:p w14:paraId="35000000">
      <w:pPr>
        <w:widowControl w:val="1"/>
        <w:spacing w:after="0" w:line="240" w:lineRule="auto"/>
        <w:ind w:firstLine="709"/>
        <w:jc w:val="both"/>
        <w:rPr>
          <w:rFonts w:ascii="Times New Roman" w:hAnsi="Times New Roman"/>
          <w:sz w:val="28"/>
        </w:rPr>
      </w:pPr>
      <w:r>
        <w:rPr>
          <w:rFonts w:ascii="Times New Roman" w:hAnsi="Times New Roman"/>
          <w:sz w:val="28"/>
        </w:rPr>
        <w:t xml:space="preserve">Санкция статьи предусматривает наказание в виде лишения свободы сроком до 8 лет. </w:t>
      </w:r>
    </w:p>
    <w:p w14:paraId="36000000">
      <w:pPr>
        <w:widowControl w:val="1"/>
        <w:spacing w:after="0" w:line="240" w:lineRule="auto"/>
        <w:ind w:firstLine="709"/>
        <w:jc w:val="both"/>
        <w:rPr>
          <w:rFonts w:ascii="Times New Roman" w:hAnsi="Times New Roman"/>
          <w:sz w:val="28"/>
        </w:rPr>
      </w:pPr>
      <w:r>
        <w:rPr>
          <w:rFonts w:ascii="Times New Roman" w:hAnsi="Times New Roman"/>
          <w:sz w:val="28"/>
        </w:rPr>
        <w:t>О</w:t>
      </w:r>
      <w:r>
        <w:rPr>
          <w:rFonts w:ascii="Times New Roman" w:hAnsi="Times New Roman"/>
          <w:sz w:val="28"/>
        </w:rPr>
        <w:t>рганы государственной власти вправе обратиться в суд о возмещении ущерба, причиненного преступлением (денежные средства, затраченные на проведение проверочных мероприятий по факту заведомо ложного сообщения об акте терроризма). Крупным ущербом в настоящей статье устанавливается сумма, превышающая один миллион рублей.</w:t>
      </w:r>
    </w:p>
    <w:p w14:paraId="37000000">
      <w:pPr>
        <w:widowControl w:val="1"/>
        <w:spacing w:after="0" w:line="240" w:lineRule="auto"/>
        <w:ind w:firstLine="709"/>
        <w:jc w:val="both"/>
        <w:rPr>
          <w:rFonts w:ascii="Times New Roman" w:hAnsi="Times New Roman"/>
          <w:sz w:val="28"/>
        </w:rPr>
      </w:pPr>
      <w:r>
        <w:rPr>
          <w:rFonts w:ascii="Times New Roman" w:hAnsi="Times New Roman"/>
          <w:sz w:val="28"/>
        </w:rPr>
        <w:t>Под объектами социальной инфраструктуры понимаются организации систем здравоохранения, образования, дошкольного воспитания, предприятия и организации, связанные с отдыхом и досугом, сферы услуг, пассажирского транспорта, спортивно-оздоровительные учреждения, система учреждений, оказывающих услуги правового и финансово-кредитного характера, а также иные объекты социальной инфраструктуры.</w:t>
      </w:r>
    </w:p>
    <w:p w14:paraId="38000000">
      <w:pPr>
        <w:widowControl w:val="1"/>
        <w:ind/>
        <w:jc w:val="both"/>
        <w:rPr>
          <w:rFonts w:ascii="Times New Roman" w:hAnsi="Times New Roman"/>
          <w:sz w:val="28"/>
        </w:rPr>
      </w:pPr>
    </w:p>
    <w:p w14:paraId="39000000">
      <w:pPr>
        <w:widowControl w:val="1"/>
        <w:ind/>
        <w:jc w:val="both"/>
        <w:rPr>
          <w:rFonts w:ascii="Times New Roman" w:hAnsi="Times New Roman"/>
          <w:sz w:val="28"/>
        </w:rPr>
      </w:pPr>
    </w:p>
    <w:p w14:paraId="3A000000">
      <w:pPr>
        <w:widowControl w:val="1"/>
        <w:ind/>
        <w:jc w:val="both"/>
        <w:rPr>
          <w:rFonts w:ascii="Times New Roman" w:hAnsi="Times New Roman"/>
          <w:sz w:val="28"/>
        </w:rPr>
      </w:pPr>
    </w:p>
    <w:p w14:paraId="3B000000">
      <w:pPr>
        <w:widowControl w:val="1"/>
        <w:ind/>
        <w:jc w:val="both"/>
        <w:rPr>
          <w:rFonts w:ascii="Times New Roman" w:hAnsi="Times New Roman"/>
          <w:sz w:val="28"/>
        </w:rPr>
      </w:pPr>
    </w:p>
    <w:p w14:paraId="3C000000">
      <w:pPr>
        <w:widowControl w:val="1"/>
        <w:ind/>
        <w:jc w:val="both"/>
        <w:rPr>
          <w:rFonts w:ascii="Times New Roman" w:hAnsi="Times New Roman"/>
          <w:sz w:val="28"/>
        </w:rPr>
      </w:pPr>
    </w:p>
    <w:p w14:paraId="3D000000">
      <w:pPr>
        <w:widowControl w:val="1"/>
        <w:ind/>
        <w:jc w:val="both"/>
        <w:rPr>
          <w:rFonts w:ascii="Times New Roman" w:hAnsi="Times New Roman"/>
          <w:sz w:val="28"/>
        </w:rPr>
      </w:pPr>
    </w:p>
    <w:p w14:paraId="3E000000">
      <w:pPr>
        <w:widowControl w:val="1"/>
        <w:ind/>
        <w:jc w:val="both"/>
        <w:rPr>
          <w:rFonts w:ascii="Times New Roman" w:hAnsi="Times New Roman"/>
          <w:sz w:val="28"/>
        </w:rPr>
      </w:pPr>
    </w:p>
    <w:p w14:paraId="3F000000">
      <w:pPr>
        <w:widowControl w:val="1"/>
        <w:ind/>
        <w:jc w:val="both"/>
        <w:rPr>
          <w:rFonts w:ascii="Times New Roman" w:hAnsi="Times New Roman"/>
          <w:sz w:val="28"/>
        </w:rPr>
      </w:pPr>
    </w:p>
    <w:p w14:paraId="40000000">
      <w:pPr>
        <w:widowControl w:val="1"/>
        <w:ind/>
        <w:jc w:val="both"/>
        <w:rPr>
          <w:rFonts w:ascii="Times New Roman" w:hAnsi="Times New Roman"/>
          <w:sz w:val="28"/>
        </w:rPr>
      </w:pPr>
    </w:p>
    <w:p w14:paraId="41000000">
      <w:pPr>
        <w:widowControl w:val="1"/>
        <w:ind/>
        <w:jc w:val="both"/>
        <w:rPr>
          <w:rFonts w:ascii="Times New Roman" w:hAnsi="Times New Roman"/>
          <w:sz w:val="28"/>
        </w:rPr>
      </w:pPr>
    </w:p>
    <w:p w14:paraId="42000000">
      <w:pPr>
        <w:widowControl w:val="1"/>
        <w:ind/>
        <w:jc w:val="center"/>
        <w:rPr>
          <w:rFonts w:ascii="Times New Roman" w:hAnsi="Times New Roman"/>
          <w:b w:val="1"/>
          <w:sz w:val="27"/>
        </w:rPr>
      </w:pPr>
      <w:r>
        <w:rPr>
          <w:rFonts w:ascii="Times New Roman" w:hAnsi="Times New Roman"/>
          <w:b w:val="1"/>
          <w:sz w:val="27"/>
        </w:rPr>
        <w:t>Особенности уголовной ответственности несовершеннолетних</w:t>
      </w:r>
    </w:p>
    <w:p w14:paraId="43000000">
      <w:pPr>
        <w:widowControl w:val="1"/>
        <w:spacing w:after="0" w:line="240" w:lineRule="auto"/>
        <w:ind w:firstLine="709"/>
        <w:jc w:val="both"/>
        <w:rPr>
          <w:rFonts w:ascii="Times New Roman" w:hAnsi="Times New Roman"/>
          <w:sz w:val="27"/>
        </w:rPr>
      </w:pPr>
      <w:r>
        <w:rPr>
          <w:rFonts w:ascii="Times New Roman" w:hAnsi="Times New Roman"/>
          <w:sz w:val="27"/>
        </w:rPr>
        <w:t>Несовершеннолетними признаются лица, которым ко времени совершения преступления исполнилось 14, но не исполнилось 18 лет. Несовершеннолетние также, как и взрослые, могут быть привечены к уголовной ответственности. Возраст, с которого она наступает зависит от вида совершенного деяния.</w:t>
      </w:r>
    </w:p>
    <w:p w14:paraId="44000000">
      <w:pPr>
        <w:widowControl w:val="1"/>
        <w:spacing w:after="0" w:line="240" w:lineRule="auto"/>
        <w:ind w:firstLine="709"/>
        <w:jc w:val="both"/>
        <w:rPr>
          <w:rFonts w:ascii="Times New Roman" w:hAnsi="Times New Roman"/>
          <w:sz w:val="27"/>
        </w:rPr>
      </w:pPr>
      <w:r>
        <w:rPr>
          <w:rFonts w:ascii="Times New Roman" w:hAnsi="Times New Roman"/>
          <w:sz w:val="27"/>
        </w:rPr>
        <w:t>По общему правилу уголовной ответственности подлежит лицо, достигшее ко времени совершения преступления шестнадцатилетнего возраста (часть 1 статьи 20 Уголовного кодекса РФ). Но, например, за такие преступления как убийство, изнасилование, кражу, разбой, грабеж и вымогательство уголовная ответственность наступает с 14 лет. При этом, лицо считается достигшим возраста, с которого наступает уголовная ответственность, не в день рождения, а по его истечении, т.е. с ноля часов следующих суток.</w:t>
      </w:r>
    </w:p>
    <w:p w14:paraId="45000000">
      <w:pPr>
        <w:widowControl w:val="1"/>
        <w:spacing w:after="0" w:line="240" w:lineRule="auto"/>
        <w:ind w:firstLine="709"/>
        <w:jc w:val="both"/>
        <w:rPr>
          <w:rFonts w:ascii="Times New Roman" w:hAnsi="Times New Roman"/>
          <w:sz w:val="27"/>
        </w:rPr>
      </w:pPr>
      <w:r>
        <w:rPr>
          <w:rFonts w:ascii="Times New Roman" w:hAnsi="Times New Roman"/>
          <w:sz w:val="27"/>
        </w:rPr>
        <w:t>При назначении уголовного наказания кроме обстоятельств, которые обычно учитываются при назначении наказания взрослому лицу, учитываются условия жизни и воспитания несовершеннолетнего, уровень психического развития, иные особенности личности, а также влияние на него старших по возрасту лиц. Кроме того, сам по себе несовершеннолетний возраст учитывается как смягчающее вину обстоятельство. Несовершеннолетнему лицу не может быть назначено пожизненное лишение свободы.</w:t>
      </w:r>
    </w:p>
    <w:p w14:paraId="46000000">
      <w:pPr>
        <w:widowControl w:val="1"/>
        <w:spacing w:after="0" w:line="240" w:lineRule="auto"/>
        <w:ind w:firstLine="709"/>
        <w:jc w:val="both"/>
        <w:rPr>
          <w:rFonts w:ascii="Times New Roman" w:hAnsi="Times New Roman"/>
          <w:sz w:val="27"/>
        </w:rPr>
      </w:pPr>
      <w:r>
        <w:rPr>
          <w:rFonts w:ascii="Times New Roman" w:hAnsi="Times New Roman"/>
          <w:sz w:val="27"/>
        </w:rPr>
        <w:t>Также в соответствии с положениями статей 90, 91, 92 Уголовного кодекса РФ несовершеннолетний может быть освобожден от уголовной ответственности и наказания, если будет установлено, что его исправление может быть достигнуто путем применения принудительных мер воспитательного воздействия.</w:t>
      </w:r>
    </w:p>
    <w:p w14:paraId="47000000">
      <w:pPr>
        <w:widowControl w:val="1"/>
        <w:spacing w:after="0" w:line="240" w:lineRule="auto"/>
        <w:ind w:firstLine="709"/>
        <w:jc w:val="both"/>
        <w:rPr>
          <w:rFonts w:ascii="Times New Roman" w:hAnsi="Times New Roman"/>
          <w:sz w:val="27"/>
        </w:rPr>
      </w:pPr>
      <w:r>
        <w:rPr>
          <w:rFonts w:ascii="Times New Roman" w:hAnsi="Times New Roman"/>
          <w:sz w:val="27"/>
        </w:rPr>
        <w:t>В случае совершения несовершеннолетним преступления небольшой и средней тяжести ему могут быть назначены такие принудительные меры воспитательного воздействия как предупреждение, передача под надзор родителей, возложение обязанности загладить причиненный вред, ограничение досуга и др. В случае систематического неисполнения несовершеннолетним принудительных мер воспитательного воздействия эти меры могут быть отменены, и несовершеннолетний привлечен к уголовной ответственности.</w:t>
      </w:r>
    </w:p>
    <w:p w14:paraId="48000000">
      <w:pPr>
        <w:widowControl w:val="1"/>
        <w:spacing w:after="0" w:line="240" w:lineRule="auto"/>
        <w:ind w:firstLine="709"/>
        <w:jc w:val="both"/>
        <w:rPr>
          <w:rFonts w:ascii="Times New Roman" w:hAnsi="Times New Roman"/>
          <w:sz w:val="27"/>
        </w:rPr>
      </w:pPr>
      <w:r>
        <w:rPr>
          <w:rFonts w:ascii="Times New Roman" w:hAnsi="Times New Roman"/>
          <w:sz w:val="27"/>
        </w:rPr>
        <w:t>В случае осуждения несовершеннолетнего за преступление средней тяжести и тяжкого преступления подросток может быть вместо уголовного наказания помещен в специальное учебно-воспитательное учреждение закрытого типа. Такая мера применяется в отношении лиц, воспитание которых требует специального педагогического подхода. В такое учреждение лицо помещается до достижения восемнадцатилетнего возраста.</w:t>
      </w:r>
    </w:p>
    <w:p w14:paraId="49000000">
      <w:pPr>
        <w:widowControl w:val="1"/>
        <w:spacing w:after="0" w:line="240" w:lineRule="auto"/>
        <w:ind w:firstLine="709"/>
        <w:jc w:val="both"/>
        <w:rPr>
          <w:rFonts w:ascii="Times New Roman" w:hAnsi="Times New Roman"/>
          <w:sz w:val="27"/>
        </w:rPr>
      </w:pPr>
      <w:r>
        <w:rPr>
          <w:rFonts w:ascii="Times New Roman" w:hAnsi="Times New Roman"/>
          <w:sz w:val="27"/>
        </w:rPr>
        <w:t>Сроки давности при освобождении несовершеннолетних от уголовной ответственности или отбывания наказания сокращаются наполовину. Сроки погашения судимости для несовершеннолетних также сравнительно меньше сроков погашения судимости, предусмотренных для взрослых лиц (статьи 86, 95 Уголовного кодекса РФ).</w:t>
      </w:r>
    </w:p>
    <w:p w14:paraId="4A000000">
      <w:pPr>
        <w:widowControl w:val="1"/>
        <w:ind/>
        <w:jc w:val="both"/>
        <w:rPr>
          <w:rFonts w:ascii="Times New Roman" w:hAnsi="Times New Roman"/>
          <w:sz w:val="28"/>
        </w:rPr>
      </w:pPr>
    </w:p>
    <w:p w14:paraId="4B000000">
      <w:pPr>
        <w:widowControl w:val="1"/>
        <w:ind/>
        <w:jc w:val="both"/>
        <w:rPr>
          <w:rFonts w:ascii="Times New Roman" w:hAnsi="Times New Roman"/>
          <w:sz w:val="28"/>
        </w:rPr>
      </w:pPr>
    </w:p>
    <w:p w14:paraId="4C000000">
      <w:pPr>
        <w:widowControl w:val="1"/>
        <w:ind/>
        <w:jc w:val="both"/>
        <w:rPr>
          <w:rFonts w:ascii="Times New Roman" w:hAnsi="Times New Roman"/>
          <w:sz w:val="27"/>
        </w:rPr>
      </w:pPr>
    </w:p>
    <w:p w14:paraId="4D000000">
      <w:pPr>
        <w:widowControl w:val="1"/>
        <w:spacing w:after="0" w:line="240" w:lineRule="auto"/>
        <w:ind w:firstLine="709"/>
        <w:jc w:val="both"/>
        <w:rPr>
          <w:rFonts w:ascii="Times New Roman" w:hAnsi="Times New Roman"/>
          <w:b w:val="1"/>
          <w:sz w:val="28"/>
        </w:rPr>
      </w:pPr>
      <w:r>
        <w:rPr>
          <w:rFonts w:ascii="Times New Roman" w:hAnsi="Times New Roman"/>
          <w:b w:val="1"/>
          <w:sz w:val="28"/>
        </w:rPr>
        <w:t xml:space="preserve">Предоставления кредитных каникул для </w:t>
      </w:r>
      <w:r>
        <w:rPr>
          <w:rFonts w:ascii="Times New Roman" w:hAnsi="Times New Roman"/>
          <w:b w:val="1"/>
          <w:sz w:val="28"/>
        </w:rPr>
        <w:t>самозанятых</w:t>
      </w:r>
      <w:r>
        <w:rPr>
          <w:rFonts w:ascii="Times New Roman" w:hAnsi="Times New Roman"/>
          <w:b w:val="1"/>
          <w:sz w:val="28"/>
        </w:rPr>
        <w:t xml:space="preserve"> и субъектов малого и среднего предпринимательства (МСП) </w:t>
      </w:r>
    </w:p>
    <w:p w14:paraId="4E000000">
      <w:pPr>
        <w:widowControl w:val="1"/>
        <w:spacing w:after="0" w:line="240" w:lineRule="auto"/>
        <w:ind w:firstLine="709"/>
        <w:jc w:val="both"/>
        <w:rPr>
          <w:rFonts w:ascii="Times New Roman" w:hAnsi="Times New Roman"/>
          <w:sz w:val="28"/>
        </w:rPr>
      </w:pPr>
    </w:p>
    <w:p w14:paraId="4F000000">
      <w:pPr>
        <w:widowControl w:val="1"/>
        <w:spacing w:after="0" w:line="240" w:lineRule="auto"/>
        <w:ind w:firstLine="709"/>
        <w:jc w:val="both"/>
        <w:rPr>
          <w:rFonts w:ascii="Times New Roman" w:hAnsi="Times New Roman"/>
          <w:sz w:val="28"/>
        </w:rPr>
      </w:pPr>
      <w:r>
        <w:rPr>
          <w:rFonts w:ascii="Times New Roman" w:hAnsi="Times New Roman"/>
          <w:sz w:val="28"/>
        </w:rPr>
        <w:t>Федеральным законом от 31.07.2025 № 276-ФЗ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(далее - Федеральный закон № 276-ФЗ) урегулированы правоотношения, возникающие в связи с обращением заемщика - СМП или заемщика - физического лица, применяющего специальный налоговый режим «Налог на профессиональный доход», к кредитору с требованием об изменении условий договора кредита (займа), предусматривающим приостановление исполнения заемщиком своих обязательств по возврату суммы кредита (займа) на определенный срок.</w:t>
      </w:r>
    </w:p>
    <w:p w14:paraId="50000000">
      <w:pPr>
        <w:widowControl w:val="1"/>
        <w:spacing w:after="0" w:line="240" w:lineRule="auto"/>
        <w:ind w:firstLine="709"/>
        <w:jc w:val="both"/>
        <w:rPr>
          <w:rFonts w:ascii="Times New Roman" w:hAnsi="Times New Roman"/>
          <w:sz w:val="28"/>
        </w:rPr>
      </w:pPr>
      <w:r>
        <w:rPr>
          <w:rFonts w:ascii="Times New Roman" w:hAnsi="Times New Roman"/>
          <w:sz w:val="28"/>
        </w:rPr>
        <w:t xml:space="preserve">В силу </w:t>
      </w:r>
      <w:r>
        <w:rPr>
          <w:rFonts w:ascii="Times New Roman" w:hAnsi="Times New Roman"/>
          <w:sz w:val="28"/>
        </w:rPr>
        <w:t>ст.ст</w:t>
      </w:r>
      <w:r>
        <w:rPr>
          <w:rFonts w:ascii="Times New Roman" w:hAnsi="Times New Roman"/>
          <w:sz w:val="28"/>
        </w:rPr>
        <w:t>. 3, 4 Федерального закона № 276-ФЗ заемщик вправе определить длительность льготного периода не более шести месяцев, а также дату начала льготного периода, которая не может быть установлена ранее дня направления заемщиком такого требования. Со дня начала льготного периода условия соответствующего договора кредита (займа) считаются измененными на время льготного периода на условиях, предусмотренных требованием заемщика.</w:t>
      </w:r>
    </w:p>
    <w:p w14:paraId="51000000">
      <w:pPr>
        <w:widowControl w:val="1"/>
        <w:spacing w:after="0" w:line="240" w:lineRule="auto"/>
        <w:ind w:firstLine="709"/>
        <w:jc w:val="both"/>
        <w:rPr>
          <w:rFonts w:ascii="Times New Roman" w:hAnsi="Times New Roman"/>
          <w:sz w:val="28"/>
        </w:rPr>
      </w:pPr>
      <w:r>
        <w:rPr>
          <w:rFonts w:ascii="Times New Roman" w:hAnsi="Times New Roman"/>
          <w:sz w:val="28"/>
        </w:rPr>
        <w:t>Вместе с тем, в течение льготного периода по договору кредита (займа) проценты продолжают начисляться на предусмотренных договором кредита (займа) условиях.</w:t>
      </w:r>
    </w:p>
    <w:p w14:paraId="52000000">
      <w:pPr>
        <w:widowControl w:val="1"/>
        <w:spacing w:after="0" w:line="240" w:lineRule="auto"/>
        <w:ind w:firstLine="709"/>
        <w:jc w:val="both"/>
        <w:rPr>
          <w:rFonts w:ascii="Times New Roman" w:hAnsi="Times New Roman"/>
          <w:sz w:val="28"/>
        </w:rPr>
      </w:pPr>
      <w:r>
        <w:rPr>
          <w:rFonts w:ascii="Times New Roman" w:hAnsi="Times New Roman"/>
          <w:sz w:val="28"/>
        </w:rPr>
        <w:t>Сведения об отнесении предприятия к категории МСП содержатся в реестре субъектов МСП, ведение которого обеспечивается Федеральной налоговой службой России.</w:t>
      </w:r>
    </w:p>
    <w:p w14:paraId="53000000">
      <w:pPr>
        <w:widowControl w:val="1"/>
        <w:spacing w:after="0" w:line="240" w:lineRule="auto"/>
        <w:ind w:firstLine="709"/>
        <w:jc w:val="both"/>
        <w:rPr>
          <w:rFonts w:ascii="Times New Roman" w:hAnsi="Times New Roman"/>
          <w:sz w:val="28"/>
        </w:rPr>
      </w:pPr>
      <w:r>
        <w:rPr>
          <w:rFonts w:ascii="Times New Roman" w:hAnsi="Times New Roman"/>
          <w:sz w:val="28"/>
        </w:rPr>
        <w:t>Категория субъекта малого или среднего предпринимательства определяется в соответствии с наибольшим значением среднесписочной численности работников за предшествующий календарный год или дохода, полученного от осуществления предпринимательской деятельности за предшествующий календарный год.</w:t>
      </w:r>
    </w:p>
    <w:p w14:paraId="54000000">
      <w:pPr>
        <w:widowControl w:val="1"/>
        <w:spacing w:after="0" w:line="240" w:lineRule="auto"/>
        <w:ind w:firstLine="709"/>
        <w:jc w:val="both"/>
        <w:rPr>
          <w:rFonts w:ascii="Times New Roman" w:hAnsi="Times New Roman"/>
          <w:sz w:val="28"/>
        </w:rPr>
      </w:pPr>
      <w:r>
        <w:rPr>
          <w:rFonts w:ascii="Times New Roman" w:hAnsi="Times New Roman"/>
          <w:sz w:val="28"/>
        </w:rPr>
        <w:t>Соответственно критерии отнесения предприятий к конкретной категории определены Федеральным законом от 24.07.2007 № 209-ФЗ</w:t>
      </w:r>
    </w:p>
    <w:p w14:paraId="55000000">
      <w:pPr>
        <w:widowControl w:val="1"/>
        <w:spacing w:after="0" w:line="240" w:lineRule="auto"/>
        <w:ind w:firstLine="709"/>
        <w:jc w:val="both"/>
        <w:rPr>
          <w:rFonts w:ascii="Times New Roman" w:hAnsi="Times New Roman"/>
          <w:sz w:val="28"/>
        </w:rPr>
      </w:pPr>
      <w:r>
        <w:rPr>
          <w:rFonts w:ascii="Times New Roman" w:hAnsi="Times New Roman"/>
          <w:sz w:val="28"/>
        </w:rPr>
        <w:t>«О развитии малого и среднего предпринимательства в Российской Федерации» и постановлением Правительства Российской Федерации от 04.04.2016 № 265 «О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w:t>
      </w:r>
    </w:p>
    <w:p w14:paraId="56000000">
      <w:pPr>
        <w:widowControl w:val="1"/>
        <w:ind/>
        <w:jc w:val="both"/>
        <w:rPr>
          <w:rFonts w:ascii="Times New Roman" w:hAnsi="Times New Roman"/>
          <w:sz w:val="28"/>
        </w:rPr>
      </w:pPr>
    </w:p>
    <w:p w14:paraId="57000000">
      <w:pPr>
        <w:widowControl w:val="1"/>
        <w:ind/>
        <w:jc w:val="both"/>
        <w:rPr>
          <w:rFonts w:ascii="Times New Roman" w:hAnsi="Times New Roman"/>
          <w:sz w:val="28"/>
        </w:rPr>
      </w:pPr>
    </w:p>
    <w:p w14:paraId="58000000">
      <w:pPr>
        <w:widowControl w:val="1"/>
        <w:ind/>
        <w:jc w:val="both"/>
        <w:rPr>
          <w:rFonts w:ascii="Times New Roman" w:hAnsi="Times New Roman"/>
          <w:sz w:val="28"/>
        </w:rPr>
      </w:pPr>
    </w:p>
    <w:p w14:paraId="59000000">
      <w:pPr>
        <w:widowControl w:val="1"/>
        <w:ind/>
        <w:jc w:val="both"/>
        <w:rPr>
          <w:rFonts w:ascii="Times New Roman" w:hAnsi="Times New Roman"/>
          <w:sz w:val="28"/>
        </w:rPr>
      </w:pPr>
    </w:p>
    <w:p w14:paraId="5A000000">
      <w:pPr>
        <w:widowControl w:val="1"/>
        <w:ind/>
        <w:jc w:val="center"/>
        <w:rPr>
          <w:rFonts w:ascii="Times New Roman" w:hAnsi="Times New Roman"/>
          <w:b w:val="1"/>
          <w:sz w:val="28"/>
        </w:rPr>
      </w:pPr>
      <w:r>
        <w:rPr>
          <w:rFonts w:ascii="Times New Roman" w:hAnsi="Times New Roman"/>
          <w:b w:val="1"/>
          <w:sz w:val="28"/>
        </w:rPr>
        <w:t>Расширен перечень льгот по уплате госпошлины</w:t>
      </w:r>
    </w:p>
    <w:p w14:paraId="5B000000">
      <w:pPr>
        <w:widowControl w:val="1"/>
        <w:spacing w:after="0" w:line="240" w:lineRule="auto"/>
        <w:ind w:firstLine="709"/>
        <w:jc w:val="both"/>
        <w:rPr>
          <w:rFonts w:ascii="Times New Roman" w:hAnsi="Times New Roman"/>
          <w:sz w:val="28"/>
        </w:rPr>
      </w:pPr>
      <w:r>
        <w:rPr>
          <w:rFonts w:ascii="Times New Roman" w:hAnsi="Times New Roman"/>
          <w:sz w:val="28"/>
        </w:rPr>
        <w:t>Согласно принятому Федеральному закону от 20.02.2026 № 40-ФЗ «О внесении изменений в статьи 333.35 и 333.36 части второй Налогового кодекса Российской Федерации», государственная пошлина не уплачивается за выдачу взамен утраченных паспорта гражданина РФ или национального водительского удостоверения принимавшим участие в СВО волонтерам, осуществляющим свою деятельность в соответствии с Указом Президента Российской Федерации от 30.04. 2022 № 247 «О поддержке волонтерской деятельности на территориях отдельных субъектов Российской Федерации».</w:t>
      </w:r>
    </w:p>
    <w:p w14:paraId="5C000000">
      <w:pPr>
        <w:widowControl w:val="1"/>
        <w:spacing w:after="0" w:line="240" w:lineRule="auto"/>
        <w:ind w:firstLine="709"/>
        <w:jc w:val="both"/>
        <w:rPr>
          <w:rFonts w:ascii="Times New Roman" w:hAnsi="Times New Roman"/>
          <w:sz w:val="28"/>
        </w:rPr>
      </w:pPr>
      <w:r>
        <w:rPr>
          <w:rFonts w:ascii="Times New Roman" w:hAnsi="Times New Roman"/>
          <w:sz w:val="28"/>
        </w:rPr>
        <w:t xml:space="preserve">Также от уплаты государственной пошлины освобождены административные истцы, относящиеся к лицам, указанным в абзацах втором — двадцатом подпункта 24 пункта 1 статьи 333.36 Налогового кодекса РФ (в </w:t>
      </w:r>
      <w:r>
        <w:rPr>
          <w:rFonts w:ascii="Times New Roman" w:hAnsi="Times New Roman"/>
          <w:sz w:val="28"/>
        </w:rPr>
        <w:t>т.ч</w:t>
      </w:r>
      <w:r>
        <w:rPr>
          <w:rFonts w:ascii="Times New Roman" w:hAnsi="Times New Roman"/>
          <w:sz w:val="28"/>
        </w:rPr>
        <w:t>. ветераны боевых действий, участники СВО, члены их семей), при обращении в суд в порядке, установленном главой 22 КоАП РФ.</w:t>
      </w:r>
    </w:p>
    <w:p w14:paraId="5D000000">
      <w:pPr>
        <w:widowControl w:val="1"/>
        <w:spacing w:after="0" w:line="240" w:lineRule="auto"/>
        <w:ind w:firstLine="709"/>
        <w:jc w:val="both"/>
        <w:rPr>
          <w:rFonts w:ascii="Times New Roman" w:hAnsi="Times New Roman"/>
          <w:sz w:val="28"/>
        </w:rPr>
      </w:pPr>
      <w:r>
        <w:rPr>
          <w:rFonts w:ascii="Times New Roman" w:hAnsi="Times New Roman"/>
          <w:sz w:val="28"/>
        </w:rPr>
        <w:t xml:space="preserve">Кроме того, от уплаты государственной пошлины освобождены религиозные организации за </w:t>
      </w:r>
      <w:r>
        <w:rPr>
          <w:rFonts w:ascii="Times New Roman" w:hAnsi="Times New Roman"/>
          <w:sz w:val="28"/>
        </w:rPr>
        <w:t>госрегистрацию</w:t>
      </w:r>
      <w:r>
        <w:rPr>
          <w:rFonts w:ascii="Times New Roman" w:hAnsi="Times New Roman"/>
          <w:sz w:val="28"/>
        </w:rPr>
        <w:t xml:space="preserve"> права собственности на недвижимое имущество и договоров безвозмездного пользования недвижимым имуществом при его передаче религиозным организациям.</w:t>
      </w:r>
    </w:p>
    <w:p w14:paraId="5E000000">
      <w:pPr>
        <w:widowControl w:val="1"/>
        <w:ind/>
        <w:jc w:val="both"/>
        <w:rPr>
          <w:rFonts w:ascii="Times New Roman" w:hAnsi="Times New Roman"/>
          <w:sz w:val="28"/>
        </w:rPr>
      </w:pPr>
    </w:p>
    <w:p w14:paraId="5F000000">
      <w:pPr>
        <w:widowControl w:val="1"/>
        <w:ind/>
        <w:jc w:val="both"/>
        <w:rPr>
          <w:rFonts w:ascii="Times New Roman" w:hAnsi="Times New Roman"/>
          <w:sz w:val="28"/>
        </w:rPr>
      </w:pPr>
    </w:p>
    <w:p w14:paraId="60000000">
      <w:pPr>
        <w:widowControl w:val="1"/>
        <w:ind/>
        <w:jc w:val="both"/>
        <w:rPr>
          <w:rFonts w:ascii="Times New Roman" w:hAnsi="Times New Roman"/>
          <w:sz w:val="28"/>
        </w:rPr>
      </w:pPr>
    </w:p>
    <w:p w14:paraId="61000000">
      <w:pPr>
        <w:widowControl w:val="1"/>
        <w:ind/>
        <w:jc w:val="both"/>
        <w:rPr>
          <w:rFonts w:ascii="Times New Roman" w:hAnsi="Times New Roman"/>
          <w:sz w:val="28"/>
        </w:rPr>
      </w:pPr>
    </w:p>
    <w:p w14:paraId="62000000">
      <w:pPr>
        <w:widowControl w:val="1"/>
        <w:ind/>
        <w:jc w:val="both"/>
        <w:rPr>
          <w:rFonts w:ascii="Times New Roman" w:hAnsi="Times New Roman"/>
          <w:sz w:val="28"/>
        </w:rPr>
      </w:pPr>
    </w:p>
    <w:p w14:paraId="63000000">
      <w:pPr>
        <w:widowControl w:val="1"/>
        <w:ind/>
        <w:jc w:val="both"/>
        <w:rPr>
          <w:rFonts w:ascii="Times New Roman" w:hAnsi="Times New Roman"/>
          <w:sz w:val="28"/>
        </w:rPr>
      </w:pPr>
    </w:p>
    <w:p w14:paraId="64000000">
      <w:pPr>
        <w:widowControl w:val="1"/>
        <w:ind/>
        <w:jc w:val="both"/>
        <w:rPr>
          <w:rFonts w:ascii="Times New Roman" w:hAnsi="Times New Roman"/>
          <w:sz w:val="28"/>
        </w:rPr>
      </w:pPr>
    </w:p>
    <w:p w14:paraId="65000000">
      <w:pPr>
        <w:widowControl w:val="1"/>
        <w:ind/>
        <w:jc w:val="both"/>
        <w:rPr>
          <w:rFonts w:ascii="Times New Roman" w:hAnsi="Times New Roman"/>
          <w:sz w:val="28"/>
        </w:rPr>
      </w:pPr>
    </w:p>
    <w:p w14:paraId="66000000">
      <w:pPr>
        <w:widowControl w:val="1"/>
        <w:ind/>
        <w:jc w:val="both"/>
        <w:rPr>
          <w:rFonts w:ascii="Times New Roman" w:hAnsi="Times New Roman"/>
          <w:sz w:val="28"/>
        </w:rPr>
      </w:pPr>
    </w:p>
    <w:p w14:paraId="67000000">
      <w:pPr>
        <w:widowControl w:val="1"/>
        <w:ind/>
        <w:jc w:val="both"/>
        <w:rPr>
          <w:rFonts w:ascii="Times New Roman" w:hAnsi="Times New Roman"/>
          <w:sz w:val="28"/>
        </w:rPr>
      </w:pPr>
    </w:p>
    <w:p w14:paraId="68000000">
      <w:pPr>
        <w:widowControl w:val="1"/>
        <w:ind/>
        <w:jc w:val="both"/>
        <w:rPr>
          <w:rFonts w:ascii="Times New Roman" w:hAnsi="Times New Roman"/>
          <w:sz w:val="28"/>
        </w:rPr>
      </w:pPr>
    </w:p>
    <w:p w14:paraId="69000000">
      <w:pPr>
        <w:widowControl w:val="1"/>
        <w:ind/>
        <w:jc w:val="both"/>
        <w:rPr>
          <w:rFonts w:ascii="Times New Roman" w:hAnsi="Times New Roman"/>
          <w:sz w:val="28"/>
        </w:rPr>
      </w:pPr>
    </w:p>
    <w:p w14:paraId="6A000000">
      <w:pPr>
        <w:widowControl w:val="1"/>
        <w:ind/>
        <w:jc w:val="both"/>
        <w:rPr>
          <w:rFonts w:ascii="Times New Roman" w:hAnsi="Times New Roman"/>
          <w:sz w:val="28"/>
        </w:rPr>
      </w:pPr>
    </w:p>
    <w:p w14:paraId="6B000000">
      <w:pPr>
        <w:widowControl w:val="1"/>
        <w:ind/>
        <w:jc w:val="both"/>
        <w:rPr>
          <w:rFonts w:ascii="Times New Roman" w:hAnsi="Times New Roman"/>
          <w:sz w:val="28"/>
        </w:rPr>
      </w:pPr>
    </w:p>
    <w:p w14:paraId="6C000000">
      <w:pPr>
        <w:widowControl w:val="1"/>
        <w:ind/>
        <w:jc w:val="both"/>
        <w:rPr>
          <w:rFonts w:ascii="Times New Roman" w:hAnsi="Times New Roman"/>
          <w:sz w:val="28"/>
        </w:rPr>
      </w:pPr>
    </w:p>
    <w:p w14:paraId="6D000000">
      <w:pPr>
        <w:widowControl w:val="1"/>
        <w:ind/>
        <w:jc w:val="both"/>
        <w:rPr>
          <w:rFonts w:ascii="Times New Roman" w:hAnsi="Times New Roman"/>
          <w:sz w:val="28"/>
        </w:rPr>
      </w:pPr>
    </w:p>
    <w:p w14:paraId="6E000000">
      <w:pPr>
        <w:widowControl w:val="1"/>
        <w:ind/>
        <w:jc w:val="both"/>
        <w:rPr>
          <w:rFonts w:ascii="Times New Roman" w:hAnsi="Times New Roman"/>
          <w:sz w:val="28"/>
        </w:rPr>
      </w:pPr>
    </w:p>
    <w:p w14:paraId="6F000000">
      <w:pPr>
        <w:widowControl w:val="1"/>
        <w:ind/>
        <w:jc w:val="both"/>
        <w:rPr>
          <w:rFonts w:ascii="Times New Roman" w:hAnsi="Times New Roman"/>
          <w:b w:val="1"/>
          <w:sz w:val="28"/>
        </w:rPr>
      </w:pPr>
      <w:r>
        <w:rPr>
          <w:rFonts w:ascii="Times New Roman" w:hAnsi="Times New Roman"/>
          <w:b w:val="1"/>
          <w:sz w:val="28"/>
        </w:rPr>
        <w:t>Информационная безопасность несовершеннолетних в сети «Интернет»</w:t>
      </w:r>
    </w:p>
    <w:p w14:paraId="70000000">
      <w:pPr>
        <w:widowControl w:val="1"/>
        <w:ind/>
        <w:jc w:val="both"/>
        <w:rPr>
          <w:rFonts w:ascii="Times New Roman" w:hAnsi="Times New Roman"/>
          <w:sz w:val="28"/>
        </w:rPr>
      </w:pPr>
    </w:p>
    <w:p w14:paraId="71000000">
      <w:pPr>
        <w:widowControl w:val="1"/>
        <w:spacing w:after="0" w:line="240" w:lineRule="auto"/>
        <w:ind w:firstLine="709"/>
        <w:jc w:val="both"/>
        <w:rPr>
          <w:rFonts w:ascii="Times New Roman" w:hAnsi="Times New Roman"/>
          <w:sz w:val="28"/>
        </w:rPr>
      </w:pPr>
      <w:r>
        <w:rPr>
          <w:rFonts w:ascii="Times New Roman" w:hAnsi="Times New Roman"/>
          <w:sz w:val="28"/>
        </w:rPr>
        <w:t>В связи с развитием информационных технологий несовершеннолетние все чаще сталкиваются с новыми угрозами и вызовами в информационно-телекоммуникационной сети «Интернет».</w:t>
      </w:r>
    </w:p>
    <w:p w14:paraId="72000000">
      <w:pPr>
        <w:widowControl w:val="1"/>
        <w:spacing w:after="0" w:line="240" w:lineRule="auto"/>
        <w:ind w:firstLine="709"/>
        <w:jc w:val="both"/>
        <w:rPr>
          <w:rFonts w:ascii="Times New Roman" w:hAnsi="Times New Roman"/>
          <w:sz w:val="28"/>
        </w:rPr>
      </w:pPr>
      <w:r>
        <w:rPr>
          <w:rFonts w:ascii="Times New Roman" w:hAnsi="Times New Roman"/>
          <w:sz w:val="28"/>
        </w:rPr>
        <w:t>Дети в силу своих возрастных особенностей нуждаются в дополнительной правовой защите от деструктивного информационного воздействия.</w:t>
      </w:r>
    </w:p>
    <w:p w14:paraId="73000000">
      <w:pPr>
        <w:widowControl w:val="1"/>
        <w:spacing w:after="0" w:line="240" w:lineRule="auto"/>
        <w:ind w:firstLine="709"/>
        <w:jc w:val="both"/>
        <w:rPr>
          <w:rFonts w:ascii="Times New Roman" w:hAnsi="Times New Roman"/>
          <w:sz w:val="28"/>
        </w:rPr>
      </w:pPr>
      <w:r>
        <w:rPr>
          <w:rFonts w:ascii="Times New Roman" w:hAnsi="Times New Roman"/>
          <w:sz w:val="28"/>
        </w:rPr>
        <w:t>В целях обеспечения информационной безопасности несовершеннолетних принят Федеральный закон от 29.12.2010 № 436-ФЗ «О защите детей от информации, причиняющей вред их здоровью и развитию».</w:t>
      </w:r>
    </w:p>
    <w:p w14:paraId="74000000">
      <w:pPr>
        <w:widowControl w:val="1"/>
        <w:spacing w:after="0" w:line="240" w:lineRule="auto"/>
        <w:ind w:firstLine="709"/>
        <w:jc w:val="both"/>
        <w:rPr>
          <w:rFonts w:ascii="Times New Roman" w:hAnsi="Times New Roman"/>
          <w:sz w:val="28"/>
        </w:rPr>
      </w:pPr>
      <w:r>
        <w:rPr>
          <w:rFonts w:ascii="Times New Roman" w:hAnsi="Times New Roman"/>
          <w:sz w:val="28"/>
        </w:rPr>
        <w:t>Законодатель исходит из того, что существует реальная угроза нравственному и психическому развитию несовершеннолетних, если они столкнутся с информацией, к которой не готовы в силу своего возраста (например, кадры насилия). В связи с этим, информационная продукция разделена на следующие категории:</w:t>
      </w:r>
    </w:p>
    <w:p w14:paraId="75000000">
      <w:pPr>
        <w:widowControl w:val="1"/>
        <w:spacing w:after="0" w:line="240" w:lineRule="auto"/>
        <w:ind w:firstLine="709"/>
        <w:jc w:val="both"/>
        <w:rPr>
          <w:rFonts w:ascii="Times New Roman" w:hAnsi="Times New Roman"/>
          <w:sz w:val="28"/>
        </w:rPr>
      </w:pPr>
      <w:r>
        <w:rPr>
          <w:rFonts w:ascii="Times New Roman" w:hAnsi="Times New Roman"/>
          <w:sz w:val="28"/>
        </w:rPr>
        <w:t>- информационная продукция для детей, не достигших возраста шести лет (0+);</w:t>
      </w:r>
    </w:p>
    <w:p w14:paraId="76000000">
      <w:pPr>
        <w:widowControl w:val="1"/>
        <w:spacing w:after="0" w:line="240" w:lineRule="auto"/>
        <w:ind w:firstLine="709"/>
        <w:jc w:val="both"/>
        <w:rPr>
          <w:rFonts w:ascii="Times New Roman" w:hAnsi="Times New Roman"/>
          <w:sz w:val="28"/>
        </w:rPr>
      </w:pPr>
      <w:r>
        <w:rPr>
          <w:rFonts w:ascii="Times New Roman" w:hAnsi="Times New Roman"/>
          <w:sz w:val="28"/>
        </w:rPr>
        <w:t>- информационная продукция для детей, достигших возраста шести лет (6+);</w:t>
      </w:r>
    </w:p>
    <w:p w14:paraId="77000000">
      <w:pPr>
        <w:widowControl w:val="1"/>
        <w:spacing w:after="0" w:line="240" w:lineRule="auto"/>
        <w:ind w:firstLine="709"/>
        <w:jc w:val="both"/>
        <w:rPr>
          <w:rFonts w:ascii="Times New Roman" w:hAnsi="Times New Roman"/>
          <w:sz w:val="28"/>
        </w:rPr>
      </w:pPr>
      <w:r>
        <w:rPr>
          <w:rFonts w:ascii="Times New Roman" w:hAnsi="Times New Roman"/>
          <w:sz w:val="28"/>
        </w:rPr>
        <w:t>- информационная продукция для детей, достигших возраста двенадцати лет (12+);</w:t>
      </w:r>
    </w:p>
    <w:p w14:paraId="78000000">
      <w:pPr>
        <w:widowControl w:val="1"/>
        <w:spacing w:after="0" w:line="240" w:lineRule="auto"/>
        <w:ind w:firstLine="709"/>
        <w:jc w:val="both"/>
        <w:rPr>
          <w:rFonts w:ascii="Times New Roman" w:hAnsi="Times New Roman"/>
          <w:sz w:val="28"/>
        </w:rPr>
      </w:pPr>
      <w:r>
        <w:rPr>
          <w:rFonts w:ascii="Times New Roman" w:hAnsi="Times New Roman"/>
          <w:sz w:val="28"/>
        </w:rPr>
        <w:t>- информационная продукция для детей, достигших возраста шестнадцати лет (16+);</w:t>
      </w:r>
    </w:p>
    <w:p w14:paraId="79000000">
      <w:pPr>
        <w:widowControl w:val="1"/>
        <w:spacing w:after="0" w:line="240" w:lineRule="auto"/>
        <w:ind w:firstLine="709"/>
        <w:jc w:val="both"/>
        <w:rPr>
          <w:rFonts w:ascii="Times New Roman" w:hAnsi="Times New Roman"/>
          <w:sz w:val="28"/>
        </w:rPr>
      </w:pPr>
      <w:r>
        <w:rPr>
          <w:rFonts w:ascii="Times New Roman" w:hAnsi="Times New Roman"/>
          <w:sz w:val="28"/>
        </w:rPr>
        <w:t>- информационная продукция, запрещенная для детей (18+).</w:t>
      </w:r>
    </w:p>
    <w:p w14:paraId="7A000000">
      <w:pPr>
        <w:widowControl w:val="1"/>
        <w:spacing w:after="0" w:line="240" w:lineRule="auto"/>
        <w:ind w:firstLine="709"/>
        <w:jc w:val="both"/>
        <w:rPr>
          <w:rFonts w:ascii="Times New Roman" w:hAnsi="Times New Roman"/>
          <w:sz w:val="28"/>
        </w:rPr>
      </w:pPr>
      <w:r>
        <w:rPr>
          <w:rFonts w:ascii="Times New Roman" w:hAnsi="Times New Roman"/>
          <w:sz w:val="28"/>
        </w:rPr>
        <w:t>Однако для безопасности ребенка в сети «Интернет» недостаточно оградить его от запрещенного контента. Родителям также необходимо проводить беседы с детьми на тему безопасного поведения в сети «Интернет», предупреждать детей о том, что нельзя общаться с незнакомыми им людьми и сообщать им личные данные.</w:t>
      </w:r>
    </w:p>
    <w:p w14:paraId="7B000000">
      <w:pPr>
        <w:widowControl w:val="1"/>
        <w:ind/>
        <w:jc w:val="both"/>
        <w:rPr>
          <w:rFonts w:ascii="Times New Roman" w:hAnsi="Times New Roman"/>
          <w:sz w:val="28"/>
        </w:rPr>
      </w:pPr>
    </w:p>
    <w:p w14:paraId="7C000000">
      <w:pPr>
        <w:widowControl w:val="1"/>
        <w:ind/>
        <w:jc w:val="both"/>
        <w:rPr>
          <w:rFonts w:ascii="Times New Roman" w:hAnsi="Times New Roman"/>
          <w:sz w:val="28"/>
        </w:rPr>
      </w:pPr>
    </w:p>
    <w:p w14:paraId="7D000000">
      <w:pPr>
        <w:widowControl w:val="1"/>
        <w:ind/>
        <w:jc w:val="both"/>
        <w:rPr>
          <w:rFonts w:ascii="Times New Roman" w:hAnsi="Times New Roman"/>
          <w:sz w:val="28"/>
        </w:rPr>
      </w:pPr>
    </w:p>
    <w:p w14:paraId="7E000000">
      <w:pPr>
        <w:widowControl w:val="1"/>
        <w:ind/>
        <w:jc w:val="both"/>
        <w:rPr>
          <w:rFonts w:ascii="Times New Roman" w:hAnsi="Times New Roman"/>
          <w:sz w:val="28"/>
        </w:rPr>
      </w:pPr>
    </w:p>
    <w:p w14:paraId="7F000000">
      <w:pPr>
        <w:widowControl w:val="1"/>
        <w:ind/>
        <w:jc w:val="both"/>
        <w:rPr>
          <w:rFonts w:ascii="Times New Roman" w:hAnsi="Times New Roman"/>
          <w:sz w:val="28"/>
        </w:rPr>
      </w:pPr>
    </w:p>
    <w:p w14:paraId="80000000">
      <w:pPr>
        <w:widowControl w:val="1"/>
        <w:ind/>
        <w:jc w:val="both"/>
        <w:rPr>
          <w:rFonts w:ascii="Times New Roman" w:hAnsi="Times New Roman"/>
          <w:sz w:val="28"/>
        </w:rPr>
      </w:pPr>
    </w:p>
    <w:p w14:paraId="81000000">
      <w:pPr>
        <w:widowControl w:val="1"/>
        <w:ind/>
        <w:jc w:val="both"/>
        <w:rPr>
          <w:rFonts w:ascii="Times New Roman" w:hAnsi="Times New Roman"/>
          <w:sz w:val="28"/>
        </w:rPr>
      </w:pPr>
    </w:p>
    <w:p w14:paraId="82000000">
      <w:pPr>
        <w:widowControl w:val="1"/>
        <w:ind/>
        <w:jc w:val="both"/>
        <w:rPr>
          <w:rFonts w:ascii="Times New Roman" w:hAnsi="Times New Roman"/>
          <w:sz w:val="28"/>
        </w:rPr>
      </w:pPr>
    </w:p>
    <w:p w14:paraId="83000000">
      <w:pPr>
        <w:widowControl w:val="1"/>
        <w:spacing w:after="0" w:line="240" w:lineRule="auto"/>
        <w:ind w:firstLine="709"/>
        <w:jc w:val="both"/>
        <w:rPr>
          <w:rFonts w:ascii="Times New Roman" w:hAnsi="Times New Roman"/>
          <w:b w:val="1"/>
          <w:color w:val="000000"/>
          <w:sz w:val="27"/>
        </w:rPr>
      </w:pPr>
      <w:r>
        <w:rPr>
          <w:rFonts w:ascii="Times New Roman" w:hAnsi="Times New Roman"/>
          <w:b w:val="1"/>
          <w:color w:val="000000"/>
          <w:sz w:val="27"/>
        </w:rPr>
        <w:t>Утверждены новые санитарно-эпидемиологические требования к условиям деятельности торговых объектов и рынков, реализующих пищевую продукцию</w:t>
      </w:r>
    </w:p>
    <w:p w14:paraId="84000000">
      <w:pPr>
        <w:widowControl w:val="1"/>
        <w:spacing w:after="0" w:line="240" w:lineRule="auto"/>
        <w:ind w:firstLine="709"/>
        <w:jc w:val="both"/>
        <w:rPr>
          <w:rFonts w:ascii="Times New Roman" w:hAnsi="Times New Roman"/>
          <w:sz w:val="27"/>
        </w:rPr>
      </w:pPr>
    </w:p>
    <w:p w14:paraId="85000000">
      <w:pPr>
        <w:widowControl w:val="1"/>
        <w:spacing w:after="0" w:line="240" w:lineRule="auto"/>
        <w:ind w:firstLine="709"/>
        <w:jc w:val="both"/>
        <w:rPr>
          <w:rFonts w:ascii="Times New Roman" w:hAnsi="Times New Roman"/>
          <w:sz w:val="27"/>
        </w:rPr>
      </w:pPr>
      <w:r>
        <w:rPr>
          <w:rFonts w:ascii="Times New Roman" w:hAnsi="Times New Roman"/>
          <w:sz w:val="27"/>
        </w:rPr>
        <w:t>Постановлением Главного государственного санитарного врача РФ от 02.06.2026 № 17 утверждены санитарно-эпидемиологические правила СП 2.3.6.4281-26 «Санитарно-эпидемиологические требования к условиям к условиям деятельности торговых объектов и рынков, реализующих пищевую продукцию», которые начнут свое действие с 1 сентября 2026 года.</w:t>
      </w:r>
    </w:p>
    <w:p w14:paraId="86000000">
      <w:pPr>
        <w:widowControl w:val="1"/>
        <w:spacing w:after="0" w:line="240" w:lineRule="auto"/>
        <w:ind w:firstLine="709"/>
        <w:jc w:val="both"/>
        <w:rPr>
          <w:rFonts w:ascii="Times New Roman" w:hAnsi="Times New Roman"/>
          <w:sz w:val="27"/>
        </w:rPr>
      </w:pPr>
      <w:r>
        <w:rPr>
          <w:rFonts w:ascii="Times New Roman" w:hAnsi="Times New Roman"/>
          <w:sz w:val="27"/>
        </w:rPr>
        <w:t>Санитарные правила направлены на охрану жизни и здоровья населения, предотвращение возникновения и распространения инфекционных, неинфекционных заболеваний.</w:t>
      </w:r>
    </w:p>
    <w:p w14:paraId="87000000">
      <w:pPr>
        <w:widowControl w:val="1"/>
        <w:spacing w:after="0" w:line="240" w:lineRule="auto"/>
        <w:ind w:firstLine="709"/>
        <w:jc w:val="both"/>
        <w:rPr>
          <w:rFonts w:ascii="Times New Roman" w:hAnsi="Times New Roman"/>
          <w:sz w:val="27"/>
        </w:rPr>
      </w:pPr>
      <w:r>
        <w:rPr>
          <w:rFonts w:ascii="Times New Roman" w:hAnsi="Times New Roman"/>
          <w:sz w:val="27"/>
        </w:rPr>
        <w:t>Правилами установлено, что в стационарных торговых и нестационарных объектах должен быть организован производственный контроль за соблюдением санитарно-эпидемиологических требований и проведением санитарно-противоэпидемических (профилактических) мероприятий в порядке и с периодичностью, определяемыми юридическими лицами и индивидуальными предпринимателями.</w:t>
      </w:r>
    </w:p>
    <w:p w14:paraId="88000000">
      <w:pPr>
        <w:widowControl w:val="1"/>
        <w:spacing w:after="0" w:line="240" w:lineRule="auto"/>
        <w:ind w:firstLine="709"/>
        <w:jc w:val="both"/>
        <w:rPr>
          <w:rFonts w:ascii="Times New Roman" w:hAnsi="Times New Roman"/>
          <w:sz w:val="27"/>
        </w:rPr>
      </w:pPr>
      <w:r>
        <w:rPr>
          <w:rFonts w:ascii="Times New Roman" w:hAnsi="Times New Roman"/>
          <w:sz w:val="27"/>
        </w:rPr>
        <w:t>Не допускается загрузка материалов, продукции, товаров со стороны двора многоквартирного дома, где расположены входы в жилые помещения.</w:t>
      </w:r>
    </w:p>
    <w:p w14:paraId="89000000">
      <w:pPr>
        <w:widowControl w:val="1"/>
        <w:spacing w:after="0" w:line="240" w:lineRule="auto"/>
        <w:ind w:firstLine="709"/>
        <w:jc w:val="both"/>
        <w:rPr>
          <w:rFonts w:ascii="Times New Roman" w:hAnsi="Times New Roman"/>
          <w:sz w:val="27"/>
        </w:rPr>
      </w:pPr>
      <w:r>
        <w:rPr>
          <w:rFonts w:ascii="Times New Roman" w:hAnsi="Times New Roman"/>
          <w:sz w:val="27"/>
        </w:rPr>
        <w:t>Над торговыми местами рынка, не расположенными в помещении, должны устанавливаться навесы или иные конструкции для защиты пищевой продукции от атмосферных осадков и прямых солнечных лучей.</w:t>
      </w:r>
    </w:p>
    <w:p w14:paraId="8A000000">
      <w:pPr>
        <w:widowControl w:val="1"/>
        <w:spacing w:after="0" w:line="240" w:lineRule="auto"/>
        <w:ind w:firstLine="709"/>
        <w:jc w:val="both"/>
        <w:rPr>
          <w:rFonts w:ascii="Times New Roman" w:hAnsi="Times New Roman"/>
          <w:sz w:val="27"/>
        </w:rPr>
      </w:pPr>
      <w:r>
        <w:rPr>
          <w:rFonts w:ascii="Times New Roman" w:hAnsi="Times New Roman"/>
          <w:sz w:val="27"/>
        </w:rPr>
        <w:t>Стационарные торговые объекты должны быть оборудованы системами холодного и горячего водоснабжения, водоотведения в соответствии с требованиями к общественным зданиям и сооружениям в части хозяйственно-питьевого водоснабжения и водоотведения согласно законодательству о техническом регулировании в сфере безопасности зданий и сооружений.</w:t>
      </w:r>
    </w:p>
    <w:p w14:paraId="8B000000">
      <w:pPr>
        <w:widowControl w:val="1"/>
        <w:spacing w:after="0" w:line="240" w:lineRule="auto"/>
        <w:ind w:firstLine="709"/>
        <w:jc w:val="both"/>
        <w:rPr>
          <w:rFonts w:ascii="Times New Roman" w:hAnsi="Times New Roman"/>
          <w:sz w:val="27"/>
        </w:rPr>
      </w:pPr>
      <w:r>
        <w:rPr>
          <w:rFonts w:ascii="Times New Roman" w:hAnsi="Times New Roman"/>
          <w:sz w:val="27"/>
        </w:rPr>
        <w:t>При отсутствии возможности подключения к централизованной системе водоотведения стационарные торговые объекты допускается оборудовать внутренней канализационной сетью при условии устройства локальных очистных сооружений. Не допускается сброс неочищенных сточных вод в открытые водоемы, поглощающие колодцы и на прилегающую к ним территорию.</w:t>
      </w:r>
    </w:p>
    <w:p w14:paraId="8C000000">
      <w:pPr>
        <w:widowControl w:val="1"/>
        <w:spacing w:after="0" w:line="240" w:lineRule="auto"/>
        <w:ind w:firstLine="709"/>
        <w:jc w:val="both"/>
        <w:rPr>
          <w:rFonts w:ascii="Times New Roman" w:hAnsi="Times New Roman"/>
          <w:sz w:val="27"/>
        </w:rPr>
      </w:pPr>
      <w:r>
        <w:rPr>
          <w:rFonts w:ascii="Times New Roman" w:hAnsi="Times New Roman"/>
          <w:sz w:val="27"/>
        </w:rPr>
        <w:t>При отсутствии централизованных и локальных очистных сооружений водоотведение стоков допускается осуществлять в водонепроницаемую емкость, с последующим вывозом стоков на очистные сооружения или сливные станции автотранспортом, предназначенным для транспортирования сточных вод.</w:t>
      </w:r>
    </w:p>
    <w:p w14:paraId="8D000000">
      <w:pPr>
        <w:widowControl w:val="1"/>
        <w:spacing w:after="0" w:line="240" w:lineRule="auto"/>
        <w:ind w:firstLine="709"/>
        <w:jc w:val="both"/>
        <w:rPr>
          <w:rFonts w:ascii="Times New Roman" w:hAnsi="Times New Roman"/>
          <w:sz w:val="27"/>
        </w:rPr>
      </w:pPr>
      <w:r>
        <w:rPr>
          <w:rFonts w:ascii="Times New Roman" w:hAnsi="Times New Roman"/>
          <w:sz w:val="27"/>
        </w:rPr>
        <w:t>При осуществлении торговой деятельности необходимо соблюдать требования к последовательности (поточности), исключающей встречные или перекрестные потоки неупакованной пищевой и непищевой продукции.</w:t>
      </w:r>
    </w:p>
    <w:p w14:paraId="8E000000">
      <w:pPr>
        <w:widowControl w:val="1"/>
        <w:spacing w:after="0" w:line="240" w:lineRule="auto"/>
        <w:ind w:firstLine="709"/>
        <w:jc w:val="both"/>
        <w:rPr>
          <w:rFonts w:ascii="Times New Roman" w:hAnsi="Times New Roman"/>
          <w:sz w:val="27"/>
        </w:rPr>
      </w:pPr>
      <w:r>
        <w:rPr>
          <w:rFonts w:ascii="Times New Roman" w:hAnsi="Times New Roman"/>
          <w:sz w:val="27"/>
        </w:rPr>
        <w:t>Также правилами устанавливаются требования при организации отопления, вентиляции, кондиционирования воздуха, естественного и искусственного освещения помещений, к помещения торговых объектов, оборудованию и т.п.</w:t>
      </w:r>
    </w:p>
    <w:p w14:paraId="8F000000">
      <w:pPr>
        <w:widowControl w:val="1"/>
        <w:ind/>
        <w:jc w:val="both"/>
        <w:rPr>
          <w:rFonts w:ascii="Times New Roman" w:hAnsi="Times New Roman"/>
          <w:sz w:val="28"/>
        </w:rPr>
      </w:pPr>
    </w:p>
    <w:p w14:paraId="90000000">
      <w:pPr>
        <w:widowControl w:val="1"/>
        <w:ind/>
        <w:jc w:val="center"/>
        <w:rPr>
          <w:rFonts w:ascii="Times New Roman" w:hAnsi="Times New Roman"/>
          <w:sz w:val="28"/>
        </w:rPr>
      </w:pPr>
    </w:p>
    <w:p w14:paraId="91000000">
      <w:pPr>
        <w:widowControl w:val="1"/>
        <w:ind/>
        <w:jc w:val="center"/>
        <w:rPr>
          <w:rFonts w:ascii="Times New Roman" w:hAnsi="Times New Roman"/>
          <w:b w:val="1"/>
          <w:sz w:val="28"/>
        </w:rPr>
      </w:pPr>
      <w:r>
        <w:rPr>
          <w:rFonts w:ascii="Times New Roman" w:hAnsi="Times New Roman"/>
          <w:b w:val="1"/>
          <w:sz w:val="28"/>
        </w:rPr>
        <w:t>Ответственность за демонстрацию нацистской символики</w:t>
      </w:r>
    </w:p>
    <w:p w14:paraId="92000000">
      <w:pPr>
        <w:widowControl w:val="1"/>
        <w:spacing w:after="0" w:line="240" w:lineRule="auto"/>
        <w:ind w:firstLine="709"/>
        <w:jc w:val="both"/>
        <w:rPr>
          <w:rFonts w:ascii="Times New Roman" w:hAnsi="Times New Roman"/>
          <w:sz w:val="28"/>
        </w:rPr>
      </w:pPr>
      <w:r>
        <w:rPr>
          <w:rFonts w:ascii="Times New Roman" w:hAnsi="Times New Roman"/>
          <w:sz w:val="28"/>
        </w:rPr>
        <w:t>В соответствии со ст. 20.3 Кодекса Российской Федерации об административных правонарушениях предусмотрена административная ответственность за пропаганду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Наказание может быть назначено в виде штрафа, административного ареста либо обаятельных работ.</w:t>
      </w:r>
    </w:p>
    <w:p w14:paraId="93000000">
      <w:pPr>
        <w:widowControl w:val="1"/>
        <w:spacing w:after="0" w:line="240" w:lineRule="auto"/>
        <w:ind w:firstLine="709"/>
        <w:jc w:val="both"/>
        <w:rPr>
          <w:rFonts w:ascii="Times New Roman" w:hAnsi="Times New Roman"/>
          <w:sz w:val="28"/>
        </w:rPr>
      </w:pPr>
      <w:r>
        <w:rPr>
          <w:rFonts w:ascii="Times New Roman" w:hAnsi="Times New Roman"/>
          <w:sz w:val="28"/>
        </w:rPr>
        <w:t>Совершение такого деяния повторно влечет наступление уголовной ответственности по ст. 282.4 Уголовного кодекса Российской Федерации и карается наказанием вплоть до лишения свободы сроком до 4 лет.</w:t>
      </w:r>
    </w:p>
    <w:p w14:paraId="94000000">
      <w:pPr>
        <w:widowControl w:val="1"/>
        <w:spacing w:after="0" w:line="240" w:lineRule="auto"/>
        <w:ind w:firstLine="709"/>
        <w:jc w:val="both"/>
        <w:rPr>
          <w:rFonts w:ascii="Times New Roman" w:hAnsi="Times New Roman"/>
          <w:sz w:val="28"/>
        </w:rPr>
      </w:pPr>
      <w:r>
        <w:rPr>
          <w:rFonts w:ascii="Times New Roman" w:hAnsi="Times New Roman"/>
          <w:sz w:val="28"/>
        </w:rPr>
        <w:t>При этом для целей указанных статей экстремистской деятельностью не признаются случаи использования такой атрибутики или символики,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14:paraId="95000000">
      <w:pPr>
        <w:widowControl w:val="1"/>
        <w:ind/>
        <w:jc w:val="both"/>
        <w:rPr>
          <w:rFonts w:ascii="Times New Roman" w:hAnsi="Times New Roman"/>
          <w:sz w:val="28"/>
        </w:rPr>
      </w:pPr>
    </w:p>
    <w:p w14:paraId="96000000">
      <w:pPr>
        <w:widowControl w:val="1"/>
        <w:ind/>
        <w:jc w:val="both"/>
        <w:rPr>
          <w:rFonts w:ascii="Times New Roman" w:hAnsi="Times New Roman"/>
          <w:sz w:val="28"/>
        </w:rPr>
      </w:pPr>
    </w:p>
    <w:p w14:paraId="97000000">
      <w:pPr>
        <w:widowControl w:val="1"/>
        <w:ind/>
        <w:jc w:val="both"/>
        <w:rPr>
          <w:rFonts w:ascii="Times New Roman" w:hAnsi="Times New Roman"/>
          <w:sz w:val="28"/>
        </w:rPr>
      </w:pPr>
    </w:p>
    <w:p w14:paraId="98000000">
      <w:pPr>
        <w:widowControl w:val="1"/>
        <w:ind/>
        <w:jc w:val="both"/>
        <w:rPr>
          <w:rFonts w:ascii="Times New Roman" w:hAnsi="Times New Roman"/>
          <w:sz w:val="28"/>
        </w:rPr>
      </w:pPr>
    </w:p>
    <w:p w14:paraId="99000000">
      <w:pPr>
        <w:widowControl w:val="1"/>
        <w:ind/>
        <w:jc w:val="both"/>
        <w:rPr>
          <w:rFonts w:ascii="Times New Roman" w:hAnsi="Times New Roman"/>
          <w:sz w:val="28"/>
        </w:rPr>
      </w:pPr>
    </w:p>
    <w:p w14:paraId="9A000000">
      <w:pPr>
        <w:widowControl w:val="1"/>
        <w:ind/>
        <w:jc w:val="both"/>
        <w:rPr>
          <w:rFonts w:ascii="Times New Roman" w:hAnsi="Times New Roman"/>
          <w:sz w:val="28"/>
        </w:rPr>
      </w:pPr>
    </w:p>
    <w:p w14:paraId="9B000000">
      <w:pPr>
        <w:widowControl w:val="1"/>
        <w:ind/>
        <w:jc w:val="both"/>
        <w:rPr>
          <w:rFonts w:ascii="Times New Roman" w:hAnsi="Times New Roman"/>
          <w:sz w:val="28"/>
        </w:rPr>
      </w:pPr>
    </w:p>
    <w:p w14:paraId="9C000000">
      <w:pPr>
        <w:widowControl w:val="1"/>
        <w:ind/>
        <w:jc w:val="both"/>
        <w:rPr>
          <w:rFonts w:ascii="Times New Roman" w:hAnsi="Times New Roman"/>
          <w:sz w:val="28"/>
        </w:rPr>
      </w:pPr>
    </w:p>
    <w:p w14:paraId="9D000000">
      <w:pPr>
        <w:widowControl w:val="1"/>
        <w:ind/>
        <w:jc w:val="both"/>
        <w:rPr>
          <w:rFonts w:ascii="Times New Roman" w:hAnsi="Times New Roman"/>
          <w:sz w:val="28"/>
        </w:rPr>
      </w:pPr>
    </w:p>
    <w:p w14:paraId="9E000000">
      <w:pPr>
        <w:widowControl w:val="1"/>
        <w:ind/>
        <w:jc w:val="both"/>
        <w:rPr>
          <w:rFonts w:ascii="Times New Roman" w:hAnsi="Times New Roman"/>
          <w:sz w:val="28"/>
        </w:rPr>
      </w:pPr>
    </w:p>
    <w:p w14:paraId="9F000000">
      <w:pPr>
        <w:widowControl w:val="1"/>
        <w:ind/>
        <w:jc w:val="both"/>
        <w:rPr>
          <w:rFonts w:ascii="Times New Roman" w:hAnsi="Times New Roman"/>
          <w:sz w:val="28"/>
        </w:rPr>
      </w:pPr>
    </w:p>
    <w:p w14:paraId="A0000000">
      <w:pPr>
        <w:widowControl w:val="1"/>
        <w:ind/>
        <w:jc w:val="both"/>
        <w:rPr>
          <w:rFonts w:ascii="Times New Roman" w:hAnsi="Times New Roman"/>
          <w:sz w:val="28"/>
        </w:rPr>
      </w:pPr>
    </w:p>
    <w:p w14:paraId="A1000000">
      <w:pPr>
        <w:widowControl w:val="1"/>
        <w:ind/>
        <w:jc w:val="both"/>
        <w:rPr>
          <w:rFonts w:ascii="Times New Roman" w:hAnsi="Times New Roman"/>
          <w:sz w:val="28"/>
        </w:rPr>
      </w:pPr>
    </w:p>
    <w:p w14:paraId="A2000000">
      <w:pPr>
        <w:widowControl w:val="1"/>
        <w:ind/>
        <w:jc w:val="both"/>
        <w:rPr>
          <w:rFonts w:ascii="Times New Roman" w:hAnsi="Times New Roman"/>
          <w:sz w:val="28"/>
        </w:rPr>
      </w:pPr>
    </w:p>
    <w:p w14:paraId="A3000000">
      <w:pPr>
        <w:widowControl w:val="1"/>
        <w:ind/>
        <w:jc w:val="both"/>
        <w:rPr>
          <w:rFonts w:ascii="Times New Roman" w:hAnsi="Times New Roman"/>
          <w:sz w:val="28"/>
        </w:rPr>
      </w:pPr>
    </w:p>
    <w:p w14:paraId="A4000000">
      <w:pPr>
        <w:widowControl w:val="1"/>
        <w:ind/>
        <w:jc w:val="both"/>
        <w:rPr>
          <w:rFonts w:ascii="Times New Roman" w:hAnsi="Times New Roman"/>
          <w:sz w:val="28"/>
        </w:rPr>
      </w:pPr>
    </w:p>
    <w:p w14:paraId="A5000000">
      <w:pPr>
        <w:widowControl w:val="1"/>
        <w:spacing w:after="0" w:line="240" w:lineRule="auto"/>
        <w:ind w:firstLine="709"/>
        <w:jc w:val="both"/>
        <w:rPr>
          <w:rFonts w:ascii="Times New Roman" w:hAnsi="Times New Roman"/>
          <w:b w:val="1"/>
          <w:sz w:val="28"/>
        </w:rPr>
      </w:pPr>
      <w:r>
        <w:rPr>
          <w:rFonts w:ascii="Times New Roman" w:hAnsi="Times New Roman"/>
          <w:b w:val="1"/>
          <w:sz w:val="28"/>
        </w:rPr>
        <w:t>С 1 сентября 2026 года абонент вправе отказаться от получения массовых телефонных звонков</w:t>
      </w:r>
    </w:p>
    <w:p w14:paraId="A6000000">
      <w:pPr>
        <w:widowControl w:val="1"/>
        <w:spacing w:after="0" w:line="240" w:lineRule="auto"/>
        <w:ind w:firstLine="709"/>
        <w:jc w:val="both"/>
        <w:rPr>
          <w:rFonts w:ascii="Times New Roman" w:hAnsi="Times New Roman"/>
          <w:sz w:val="28"/>
        </w:rPr>
      </w:pPr>
    </w:p>
    <w:p w14:paraId="A7000000">
      <w:pPr>
        <w:widowControl w:val="1"/>
        <w:spacing w:after="0" w:line="240" w:lineRule="auto"/>
        <w:ind w:firstLine="709"/>
        <w:jc w:val="both"/>
        <w:rPr>
          <w:rFonts w:ascii="Times New Roman" w:hAnsi="Times New Roman"/>
          <w:sz w:val="28"/>
        </w:rPr>
      </w:pPr>
      <w:r>
        <w:rPr>
          <w:rFonts w:ascii="Times New Roman" w:hAnsi="Times New Roman"/>
          <w:sz w:val="28"/>
        </w:rPr>
        <w:t>С 1 сентября 2025 года вступили в силу положения статьи 44.1-1 Федерального закона от 07.07.2003 № 126-ФЗ «О связи», которыми предусмотрено право абонента отказаться от получения массовых телефонных звонков.</w:t>
      </w:r>
    </w:p>
    <w:p w14:paraId="A8000000">
      <w:pPr>
        <w:widowControl w:val="1"/>
        <w:spacing w:after="0" w:line="240" w:lineRule="auto"/>
        <w:ind w:firstLine="709"/>
        <w:jc w:val="both"/>
        <w:rPr>
          <w:rFonts w:ascii="Times New Roman" w:hAnsi="Times New Roman"/>
          <w:sz w:val="28"/>
        </w:rPr>
      </w:pPr>
      <w:r>
        <w:rPr>
          <w:rFonts w:ascii="Times New Roman" w:hAnsi="Times New Roman"/>
          <w:sz w:val="28"/>
        </w:rPr>
        <w:t>Такие вызовы теперь должны осуществляться при условии получения предварительного согласия абонента, выраженного его действиями, однозначно идентифицирующими этого абонента и позволяющими достоверно установить его волеизъявление на получение массовых вызовов.</w:t>
      </w:r>
    </w:p>
    <w:p w14:paraId="A9000000">
      <w:pPr>
        <w:widowControl w:val="1"/>
        <w:spacing w:after="0" w:line="240" w:lineRule="auto"/>
        <w:ind w:firstLine="709"/>
        <w:jc w:val="both"/>
        <w:rPr>
          <w:rFonts w:ascii="Times New Roman" w:hAnsi="Times New Roman"/>
          <w:sz w:val="28"/>
        </w:rPr>
      </w:pPr>
      <w:r>
        <w:rPr>
          <w:rFonts w:ascii="Times New Roman" w:hAnsi="Times New Roman"/>
          <w:sz w:val="28"/>
        </w:rPr>
        <w:t>Массовые вызовы по инициативе заказчика массовых вызовов должны производиться на основании договора, заключенного с оператором, абоненту которого предназначены массовые вызовы.</w:t>
      </w:r>
    </w:p>
    <w:p w14:paraId="AA000000">
      <w:pPr>
        <w:widowControl w:val="1"/>
        <w:spacing w:after="0" w:line="240" w:lineRule="auto"/>
        <w:ind w:firstLine="709"/>
        <w:jc w:val="both"/>
        <w:rPr>
          <w:rFonts w:ascii="Times New Roman" w:hAnsi="Times New Roman"/>
          <w:sz w:val="28"/>
        </w:rPr>
      </w:pPr>
      <w:r>
        <w:rPr>
          <w:rFonts w:ascii="Times New Roman" w:hAnsi="Times New Roman"/>
          <w:sz w:val="28"/>
        </w:rPr>
        <w:t>Указанные требования не распространяются на массовые вызовы по инициативе государственных органов и подведомственных им организаций, органов местного самоуправления и подведомственных им организаций, а также иных органов и организаций, перечень которых устанавливается Правительством Российской Федерации.</w:t>
      </w:r>
    </w:p>
    <w:p w14:paraId="AB000000">
      <w:pPr>
        <w:widowControl w:val="1"/>
        <w:spacing w:after="0" w:line="240" w:lineRule="auto"/>
        <w:ind w:firstLine="709"/>
        <w:jc w:val="both"/>
        <w:rPr>
          <w:rFonts w:ascii="Times New Roman" w:hAnsi="Times New Roman"/>
          <w:sz w:val="28"/>
        </w:rPr>
      </w:pPr>
      <w:r>
        <w:rPr>
          <w:rFonts w:ascii="Times New Roman" w:hAnsi="Times New Roman"/>
          <w:sz w:val="28"/>
        </w:rPr>
        <w:t>Получив отказ гражданина от массовых телефонных вызовов, оператор связи обязан их прекратить на следующий за днем подачи заявления день.</w:t>
      </w:r>
    </w:p>
    <w:p w14:paraId="AC000000">
      <w:pPr>
        <w:widowControl w:val="1"/>
        <w:ind/>
        <w:jc w:val="both"/>
        <w:rPr>
          <w:rFonts w:ascii="Times New Roman" w:hAnsi="Times New Roman"/>
          <w:sz w:val="28"/>
        </w:rPr>
      </w:pPr>
    </w:p>
    <w:p w14:paraId="AD000000">
      <w:pPr>
        <w:widowControl w:val="1"/>
        <w:ind/>
        <w:jc w:val="both"/>
        <w:rPr>
          <w:rFonts w:ascii="Times New Roman" w:hAnsi="Times New Roman"/>
          <w:sz w:val="28"/>
        </w:rPr>
      </w:pPr>
    </w:p>
    <w:p w14:paraId="AE000000">
      <w:pPr>
        <w:widowControl w:val="1"/>
        <w:ind/>
        <w:jc w:val="both"/>
        <w:rPr>
          <w:rFonts w:ascii="Times New Roman" w:hAnsi="Times New Roman"/>
          <w:sz w:val="28"/>
        </w:rPr>
      </w:pPr>
    </w:p>
    <w:p w14:paraId="AF000000">
      <w:pPr>
        <w:widowControl w:val="1"/>
        <w:ind/>
        <w:jc w:val="both"/>
        <w:rPr>
          <w:rFonts w:ascii="Times New Roman" w:hAnsi="Times New Roman"/>
          <w:sz w:val="28"/>
        </w:rPr>
      </w:pPr>
    </w:p>
    <w:p w14:paraId="B0000000">
      <w:pPr>
        <w:widowControl w:val="1"/>
        <w:ind/>
        <w:jc w:val="both"/>
        <w:rPr>
          <w:rFonts w:ascii="Times New Roman" w:hAnsi="Times New Roman"/>
          <w:sz w:val="28"/>
        </w:rPr>
      </w:pPr>
    </w:p>
    <w:p w14:paraId="B1000000">
      <w:pPr>
        <w:widowControl w:val="1"/>
        <w:ind/>
        <w:jc w:val="both"/>
        <w:rPr>
          <w:rFonts w:ascii="Times New Roman" w:hAnsi="Times New Roman"/>
          <w:sz w:val="28"/>
        </w:rPr>
      </w:pPr>
    </w:p>
    <w:p w14:paraId="B2000000">
      <w:pPr>
        <w:widowControl w:val="1"/>
        <w:ind/>
        <w:jc w:val="both"/>
        <w:rPr>
          <w:rFonts w:ascii="Times New Roman" w:hAnsi="Times New Roman"/>
          <w:sz w:val="28"/>
        </w:rPr>
      </w:pPr>
    </w:p>
    <w:p w14:paraId="B3000000">
      <w:pPr>
        <w:widowControl w:val="1"/>
        <w:ind/>
        <w:jc w:val="both"/>
        <w:rPr>
          <w:rFonts w:ascii="Times New Roman" w:hAnsi="Times New Roman"/>
          <w:sz w:val="28"/>
        </w:rPr>
      </w:pPr>
    </w:p>
    <w:p w14:paraId="B4000000">
      <w:pPr>
        <w:widowControl w:val="1"/>
        <w:ind/>
        <w:jc w:val="both"/>
        <w:rPr>
          <w:rFonts w:ascii="Times New Roman" w:hAnsi="Times New Roman"/>
          <w:sz w:val="28"/>
        </w:rPr>
      </w:pPr>
    </w:p>
    <w:p w14:paraId="B5000000">
      <w:pPr>
        <w:widowControl w:val="1"/>
        <w:ind/>
        <w:jc w:val="both"/>
        <w:rPr>
          <w:rFonts w:ascii="Times New Roman" w:hAnsi="Times New Roman"/>
          <w:sz w:val="28"/>
        </w:rPr>
      </w:pPr>
    </w:p>
    <w:p w14:paraId="B6000000">
      <w:pPr>
        <w:widowControl w:val="1"/>
        <w:ind/>
        <w:jc w:val="both"/>
        <w:rPr>
          <w:rFonts w:ascii="Times New Roman" w:hAnsi="Times New Roman"/>
          <w:sz w:val="28"/>
        </w:rPr>
      </w:pPr>
    </w:p>
    <w:p w14:paraId="B7000000">
      <w:pPr>
        <w:widowControl w:val="1"/>
        <w:ind/>
        <w:jc w:val="both"/>
        <w:rPr>
          <w:rFonts w:ascii="Times New Roman" w:hAnsi="Times New Roman"/>
          <w:sz w:val="28"/>
        </w:rPr>
      </w:pPr>
    </w:p>
    <w:p w14:paraId="B8000000">
      <w:pPr>
        <w:widowControl w:val="1"/>
        <w:ind/>
        <w:jc w:val="both"/>
        <w:rPr>
          <w:rFonts w:ascii="Times New Roman" w:hAnsi="Times New Roman"/>
          <w:sz w:val="28"/>
        </w:rPr>
      </w:pPr>
    </w:p>
    <w:p w14:paraId="B9000000">
      <w:pPr>
        <w:widowControl w:val="1"/>
        <w:ind/>
        <w:jc w:val="both"/>
        <w:rPr>
          <w:rFonts w:ascii="Times New Roman" w:hAnsi="Times New Roman"/>
          <w:sz w:val="28"/>
        </w:rPr>
      </w:pPr>
    </w:p>
    <w:p w14:paraId="BA000000">
      <w:pPr>
        <w:widowControl w:val="1"/>
        <w:ind/>
        <w:jc w:val="both"/>
        <w:rPr>
          <w:rFonts w:ascii="Times New Roman" w:hAnsi="Times New Roman"/>
          <w:sz w:val="28"/>
        </w:rPr>
      </w:pPr>
    </w:p>
    <w:p w14:paraId="BB000000">
      <w:pPr>
        <w:widowControl w:val="1"/>
        <w:spacing w:after="0" w:line="240" w:lineRule="auto"/>
        <w:ind w:firstLine="709"/>
        <w:jc w:val="both"/>
        <w:rPr>
          <w:rFonts w:ascii="Times New Roman" w:hAnsi="Times New Roman"/>
          <w:b w:val="1"/>
          <w:sz w:val="28"/>
        </w:rPr>
      </w:pPr>
      <w:r>
        <w:rPr>
          <w:rFonts w:ascii="Times New Roman" w:hAnsi="Times New Roman"/>
          <w:b w:val="1"/>
          <w:sz w:val="28"/>
        </w:rPr>
        <w:t>Участникам СВО будут автоматически продлевать договоры аренды земли</w:t>
      </w:r>
    </w:p>
    <w:p w14:paraId="BC000000">
      <w:pPr>
        <w:widowControl w:val="1"/>
        <w:spacing w:after="0" w:line="240" w:lineRule="auto"/>
        <w:ind w:firstLine="709"/>
        <w:jc w:val="both"/>
        <w:rPr>
          <w:rFonts w:ascii="Times New Roman" w:hAnsi="Times New Roman"/>
          <w:sz w:val="28"/>
        </w:rPr>
      </w:pPr>
      <w:r>
        <w:rPr>
          <w:rFonts w:ascii="Times New Roman" w:hAnsi="Times New Roman"/>
          <w:sz w:val="28"/>
        </w:rPr>
        <w:t xml:space="preserve">Согласно </w:t>
      </w:r>
      <w:r>
        <w:rPr>
          <w:rFonts w:ascii="Times New Roman" w:hAnsi="Times New Roman"/>
          <w:sz w:val="28"/>
        </w:rPr>
        <w:t>поправкам</w:t>
      </w:r>
      <w:r>
        <w:rPr>
          <w:rFonts w:ascii="Times New Roman" w:hAnsi="Times New Roman"/>
          <w:sz w:val="28"/>
        </w:rPr>
        <w:t xml:space="preserve"> за участником СВО сохраняется право пользования земельным участком, находящимся в государственной или муниципальной собственности, на период его участия в СВО. В этом случае договор аренды или безвозмездного пользования участком считается возобновленным на неопределенный срок при условии, что такой участок после истечения срока действия указанного договора не предоставлен иному лицу.</w:t>
      </w:r>
    </w:p>
    <w:p w14:paraId="BD000000">
      <w:pPr>
        <w:widowControl w:val="1"/>
        <w:spacing w:after="0" w:line="240" w:lineRule="auto"/>
        <w:ind w:firstLine="709"/>
        <w:jc w:val="both"/>
        <w:rPr>
          <w:rFonts w:ascii="Times New Roman" w:hAnsi="Times New Roman"/>
          <w:sz w:val="28"/>
        </w:rPr>
      </w:pPr>
      <w:r>
        <w:rPr>
          <w:rFonts w:ascii="Times New Roman" w:hAnsi="Times New Roman"/>
          <w:sz w:val="28"/>
        </w:rPr>
        <w:t>Также предусмотрена возможность заключения нового договора аренды или безвозмездного пользования земельным участком после возвращения из зоны боевых действий. Для этого в течение одного года со дня окончания участия в СВО нужно подать в уполномоченный орган, предоставивший участок, соответствующее заявление. Условия нового договора должны соответствовать условиям ранее заключенного и возобновленного договора.</w:t>
      </w:r>
    </w:p>
    <w:p w14:paraId="BE000000">
      <w:pPr>
        <w:widowControl w:val="1"/>
        <w:spacing w:after="0" w:line="240" w:lineRule="auto"/>
        <w:ind w:firstLine="709"/>
        <w:jc w:val="both"/>
        <w:rPr>
          <w:rFonts w:ascii="Times New Roman" w:hAnsi="Times New Roman"/>
          <w:sz w:val="28"/>
        </w:rPr>
      </w:pPr>
      <w:r>
        <w:rPr>
          <w:rFonts w:ascii="Times New Roman" w:hAnsi="Times New Roman"/>
          <w:sz w:val="28"/>
        </w:rPr>
        <w:t>Информация об участии в СВО может быть направлена в уполномоченный орган самим участником, его представителем, членами семьи участника СВО или его близкими родственниками.</w:t>
      </w:r>
    </w:p>
    <w:p w14:paraId="BF000000">
      <w:pPr>
        <w:widowControl w:val="1"/>
        <w:spacing w:after="0" w:line="240" w:lineRule="auto"/>
        <w:ind w:firstLine="709"/>
        <w:jc w:val="both"/>
        <w:rPr>
          <w:rFonts w:ascii="Times New Roman" w:hAnsi="Times New Roman"/>
          <w:sz w:val="28"/>
        </w:rPr>
      </w:pPr>
      <w:r>
        <w:rPr>
          <w:rFonts w:ascii="Times New Roman" w:hAnsi="Times New Roman"/>
          <w:sz w:val="28"/>
        </w:rPr>
        <w:t>Закон вступил в силу со дня его официального опубликования.</w:t>
      </w:r>
    </w:p>
    <w:p w14:paraId="C0000000">
      <w:pPr>
        <w:widowControl w:val="1"/>
        <w:ind/>
        <w:jc w:val="both"/>
        <w:rPr>
          <w:rFonts w:ascii="Times New Roman" w:hAnsi="Times New Roman"/>
          <w:sz w:val="28"/>
        </w:rPr>
      </w:pPr>
    </w:p>
    <w:p w14:paraId="C1000000">
      <w:pPr>
        <w:widowControl w:val="1"/>
        <w:ind/>
        <w:jc w:val="both"/>
        <w:rPr>
          <w:rFonts w:ascii="Times New Roman" w:hAnsi="Times New Roman"/>
          <w:sz w:val="28"/>
        </w:rPr>
      </w:pPr>
    </w:p>
    <w:p w14:paraId="C2000000">
      <w:pPr>
        <w:widowControl w:val="1"/>
        <w:ind/>
        <w:jc w:val="both"/>
        <w:rPr>
          <w:rFonts w:ascii="Times New Roman" w:hAnsi="Times New Roman"/>
          <w:sz w:val="28"/>
        </w:rPr>
      </w:pPr>
    </w:p>
    <w:p w14:paraId="C3000000">
      <w:pPr>
        <w:widowControl w:val="1"/>
        <w:ind/>
        <w:jc w:val="both"/>
        <w:rPr>
          <w:rFonts w:ascii="Times New Roman" w:hAnsi="Times New Roman"/>
          <w:sz w:val="28"/>
        </w:rPr>
      </w:pPr>
    </w:p>
    <w:p w14:paraId="C4000000">
      <w:pPr>
        <w:widowControl w:val="1"/>
        <w:ind/>
        <w:jc w:val="both"/>
        <w:rPr>
          <w:rFonts w:ascii="Times New Roman" w:hAnsi="Times New Roman"/>
          <w:sz w:val="28"/>
        </w:rPr>
      </w:pPr>
    </w:p>
    <w:p w14:paraId="C5000000">
      <w:pPr>
        <w:widowControl w:val="1"/>
        <w:ind/>
        <w:jc w:val="both"/>
        <w:rPr>
          <w:rFonts w:ascii="Times New Roman" w:hAnsi="Times New Roman"/>
          <w:sz w:val="28"/>
        </w:rPr>
      </w:pPr>
    </w:p>
    <w:p w14:paraId="C6000000">
      <w:pPr>
        <w:widowControl w:val="1"/>
        <w:ind/>
        <w:jc w:val="both"/>
        <w:rPr>
          <w:rFonts w:ascii="Times New Roman" w:hAnsi="Times New Roman"/>
          <w:sz w:val="28"/>
        </w:rPr>
      </w:pPr>
    </w:p>
    <w:p w14:paraId="C7000000">
      <w:pPr>
        <w:widowControl w:val="1"/>
        <w:ind/>
        <w:jc w:val="both"/>
        <w:rPr>
          <w:rFonts w:ascii="Times New Roman" w:hAnsi="Times New Roman"/>
          <w:sz w:val="28"/>
        </w:rPr>
      </w:pPr>
    </w:p>
    <w:p w14:paraId="C8000000">
      <w:pPr>
        <w:widowControl w:val="1"/>
        <w:ind/>
        <w:jc w:val="both"/>
        <w:rPr>
          <w:rFonts w:ascii="Times New Roman" w:hAnsi="Times New Roman"/>
          <w:sz w:val="28"/>
        </w:rPr>
      </w:pPr>
    </w:p>
    <w:p w14:paraId="C9000000">
      <w:pPr>
        <w:widowControl w:val="1"/>
        <w:ind/>
        <w:jc w:val="both"/>
        <w:rPr>
          <w:rFonts w:ascii="Times New Roman" w:hAnsi="Times New Roman"/>
          <w:sz w:val="28"/>
        </w:rPr>
      </w:pPr>
    </w:p>
    <w:p w14:paraId="CA000000">
      <w:pPr>
        <w:widowControl w:val="1"/>
        <w:ind/>
        <w:jc w:val="both"/>
        <w:rPr>
          <w:rFonts w:ascii="Times New Roman" w:hAnsi="Times New Roman"/>
          <w:sz w:val="28"/>
        </w:rPr>
      </w:pPr>
    </w:p>
    <w:p w14:paraId="CB000000">
      <w:pPr>
        <w:widowControl w:val="1"/>
        <w:ind/>
        <w:jc w:val="both"/>
        <w:rPr>
          <w:rFonts w:ascii="Times New Roman" w:hAnsi="Times New Roman"/>
          <w:sz w:val="28"/>
        </w:rPr>
      </w:pPr>
    </w:p>
    <w:p w14:paraId="CC000000">
      <w:pPr>
        <w:widowControl w:val="1"/>
        <w:ind/>
        <w:jc w:val="both"/>
        <w:rPr>
          <w:rFonts w:ascii="Times New Roman" w:hAnsi="Times New Roman"/>
          <w:sz w:val="28"/>
        </w:rPr>
      </w:pPr>
    </w:p>
    <w:p w14:paraId="CD000000">
      <w:pPr>
        <w:widowControl w:val="1"/>
        <w:ind/>
        <w:jc w:val="both"/>
        <w:rPr>
          <w:rFonts w:ascii="Times New Roman" w:hAnsi="Times New Roman"/>
          <w:sz w:val="28"/>
        </w:rPr>
      </w:pPr>
    </w:p>
    <w:p w14:paraId="CE000000">
      <w:pPr>
        <w:widowControl w:val="1"/>
        <w:ind/>
        <w:jc w:val="both"/>
        <w:rPr>
          <w:rFonts w:ascii="Times New Roman" w:hAnsi="Times New Roman"/>
          <w:sz w:val="28"/>
        </w:rPr>
      </w:pPr>
    </w:p>
    <w:p w14:paraId="CF000000">
      <w:pPr>
        <w:widowControl w:val="1"/>
        <w:ind/>
        <w:jc w:val="both"/>
        <w:rPr>
          <w:rFonts w:ascii="Times New Roman" w:hAnsi="Times New Roman"/>
          <w:sz w:val="28"/>
        </w:rPr>
      </w:pPr>
    </w:p>
    <w:p w14:paraId="D0000000">
      <w:pPr>
        <w:widowControl w:val="1"/>
        <w:spacing w:after="0" w:line="240" w:lineRule="auto"/>
        <w:ind w:firstLine="709"/>
        <w:jc w:val="both"/>
        <w:rPr>
          <w:rFonts w:ascii="Times New Roman" w:hAnsi="Times New Roman"/>
          <w:b w:val="1"/>
          <w:sz w:val="28"/>
        </w:rPr>
      </w:pPr>
      <w:r>
        <w:rPr>
          <w:rFonts w:ascii="Times New Roman" w:hAnsi="Times New Roman"/>
          <w:b w:val="1"/>
          <w:sz w:val="28"/>
        </w:rPr>
        <w:t>Внесены изменения в закон о воинской обязанности и военной службе</w:t>
      </w:r>
    </w:p>
    <w:p w14:paraId="D1000000">
      <w:pPr>
        <w:widowControl w:val="1"/>
        <w:spacing w:after="0" w:line="240" w:lineRule="auto"/>
        <w:ind w:firstLine="709"/>
        <w:jc w:val="both"/>
        <w:rPr>
          <w:rFonts w:ascii="Times New Roman" w:hAnsi="Times New Roman"/>
          <w:sz w:val="28"/>
        </w:rPr>
      </w:pPr>
      <w:r>
        <w:rPr>
          <w:rFonts w:ascii="Times New Roman" w:hAnsi="Times New Roman"/>
          <w:sz w:val="28"/>
        </w:rPr>
        <w:t>Подписан Федеральный закон от 10.06.2026 № 179-ФЗ «О внесении изменений в статьи 24 и 47 Федерального закона «О воинской обязанности и военной службе».</w:t>
      </w:r>
    </w:p>
    <w:p w14:paraId="D2000000">
      <w:pPr>
        <w:widowControl w:val="1"/>
        <w:spacing w:after="0" w:line="240" w:lineRule="auto"/>
        <w:ind w:firstLine="709"/>
        <w:jc w:val="both"/>
        <w:rPr>
          <w:rFonts w:ascii="Times New Roman" w:hAnsi="Times New Roman"/>
          <w:sz w:val="28"/>
        </w:rPr>
      </w:pPr>
      <w:r>
        <w:rPr>
          <w:rFonts w:ascii="Times New Roman" w:hAnsi="Times New Roman"/>
          <w:sz w:val="28"/>
        </w:rPr>
        <w:t>Федеральным законом расширяется перечень оснований, при наличии которых гражданам, поступившим на службу в органы внутренних дел и имеющим специальные звания, предоставляется отсрочка от призыва на военную службу.</w:t>
      </w:r>
    </w:p>
    <w:p w14:paraId="D3000000">
      <w:pPr>
        <w:widowControl w:val="1"/>
        <w:spacing w:after="0" w:line="240" w:lineRule="auto"/>
        <w:ind w:firstLine="709"/>
        <w:jc w:val="both"/>
        <w:rPr>
          <w:rFonts w:ascii="Times New Roman" w:hAnsi="Times New Roman"/>
          <w:sz w:val="28"/>
        </w:rPr>
      </w:pPr>
      <w:r>
        <w:rPr>
          <w:rFonts w:ascii="Times New Roman" w:hAnsi="Times New Roman"/>
          <w:sz w:val="28"/>
        </w:rPr>
        <w:t>Такая отсрочка предоставляется гражданам, поступившим на службу в органы внутренних дел непосредственно по окончании как образовательных организаций высшего образования указанных органов, так и профессиональных образовательных организаций указанных органов (на время службы), а также поступившим на службу в органы внутренних дел и обучающимся по очно-заочной форме обучения в осуществляющих образовательную деятельность организациях указанных органов (на период обучения и на время службы после завершения обучения).</w:t>
      </w:r>
    </w:p>
    <w:p w14:paraId="D4000000">
      <w:pPr>
        <w:widowControl w:val="1"/>
        <w:spacing w:after="0" w:line="240" w:lineRule="auto"/>
        <w:ind w:firstLine="709"/>
        <w:jc w:val="both"/>
        <w:rPr>
          <w:rFonts w:ascii="Times New Roman" w:hAnsi="Times New Roman"/>
          <w:sz w:val="28"/>
        </w:rPr>
      </w:pPr>
      <w:r>
        <w:rPr>
          <w:rFonts w:ascii="Times New Roman" w:hAnsi="Times New Roman"/>
          <w:sz w:val="28"/>
        </w:rPr>
        <w:t>Кроме того, Федеральным законом устанавливается, что военнослужащему, имеющему воинское звание офицера и успешно осваивающему образовательную программу высшего образования по очной форме обучения или осуществляющему подготовку диссертации на соискание учёной степени доктора наук в докторантуре в военной образовательной организации высшего образования или научной организации федерального органа исполнительной власти или федерального государственного органа, в которых предусмотрена военная служба, очередное воинское звание до подполковника или капитана 2 ранга включительно присваивается в день истечения срока его военной службы в предыдущем воинском звании независимо от воинской должности (должности), которую он занимал до зачисления в указанную образовательную или научную организацию.</w:t>
      </w:r>
    </w:p>
    <w:p w14:paraId="D5000000">
      <w:pPr>
        <w:widowControl w:val="1"/>
        <w:ind/>
        <w:jc w:val="both"/>
        <w:rPr>
          <w:rFonts w:ascii="Times New Roman" w:hAnsi="Times New Roman"/>
          <w:sz w:val="28"/>
        </w:rPr>
      </w:pPr>
    </w:p>
    <w:p w14:paraId="D6000000">
      <w:pPr>
        <w:widowControl w:val="1"/>
        <w:ind/>
        <w:jc w:val="both"/>
        <w:rPr>
          <w:rFonts w:ascii="Times New Roman" w:hAnsi="Times New Roman"/>
          <w:sz w:val="28"/>
        </w:rPr>
      </w:pPr>
    </w:p>
    <w:p w14:paraId="D7000000">
      <w:pPr>
        <w:widowControl w:val="1"/>
        <w:ind/>
        <w:jc w:val="both"/>
        <w:rPr>
          <w:rFonts w:ascii="Times New Roman" w:hAnsi="Times New Roman"/>
          <w:sz w:val="28"/>
        </w:rPr>
      </w:pPr>
    </w:p>
    <w:p w14:paraId="D8000000">
      <w:pPr>
        <w:widowControl w:val="1"/>
        <w:ind/>
        <w:jc w:val="both"/>
        <w:rPr>
          <w:rFonts w:ascii="Times New Roman" w:hAnsi="Times New Roman"/>
          <w:sz w:val="28"/>
        </w:rPr>
      </w:pPr>
    </w:p>
    <w:p w14:paraId="D9000000">
      <w:pPr>
        <w:widowControl w:val="1"/>
        <w:ind/>
        <w:jc w:val="both"/>
        <w:rPr>
          <w:rFonts w:ascii="Times New Roman" w:hAnsi="Times New Roman"/>
          <w:sz w:val="28"/>
        </w:rPr>
      </w:pPr>
    </w:p>
    <w:p w14:paraId="DA000000">
      <w:pPr>
        <w:widowControl w:val="1"/>
        <w:ind/>
        <w:jc w:val="both"/>
        <w:rPr>
          <w:rFonts w:ascii="Times New Roman" w:hAnsi="Times New Roman"/>
          <w:sz w:val="28"/>
        </w:rPr>
      </w:pPr>
    </w:p>
    <w:p w14:paraId="DB000000">
      <w:pPr>
        <w:widowControl w:val="1"/>
        <w:ind/>
        <w:jc w:val="both"/>
        <w:rPr>
          <w:rFonts w:ascii="Times New Roman" w:hAnsi="Times New Roman"/>
          <w:sz w:val="28"/>
        </w:rPr>
      </w:pPr>
    </w:p>
    <w:p w14:paraId="DC000000">
      <w:pPr>
        <w:widowControl w:val="1"/>
        <w:ind/>
        <w:jc w:val="both"/>
        <w:rPr>
          <w:rFonts w:ascii="Times New Roman" w:hAnsi="Times New Roman"/>
          <w:sz w:val="28"/>
        </w:rPr>
      </w:pPr>
    </w:p>
    <w:p w14:paraId="DD000000">
      <w:pPr>
        <w:widowControl w:val="1"/>
        <w:ind/>
        <w:jc w:val="both"/>
        <w:rPr>
          <w:rFonts w:ascii="Times New Roman" w:hAnsi="Times New Roman"/>
          <w:sz w:val="28"/>
        </w:rPr>
      </w:pPr>
    </w:p>
    <w:p w14:paraId="DE000000">
      <w:pPr>
        <w:widowControl w:val="1"/>
        <w:ind/>
        <w:jc w:val="both"/>
        <w:rPr>
          <w:rFonts w:ascii="Times New Roman" w:hAnsi="Times New Roman"/>
          <w:sz w:val="28"/>
        </w:rPr>
      </w:pPr>
    </w:p>
    <w:p w14:paraId="DF000000">
      <w:pPr>
        <w:widowControl w:val="1"/>
        <w:ind/>
        <w:jc w:val="both"/>
        <w:rPr>
          <w:rFonts w:ascii="Times New Roman" w:hAnsi="Times New Roman"/>
          <w:sz w:val="28"/>
        </w:rPr>
      </w:pPr>
    </w:p>
    <w:p w14:paraId="E0000000">
      <w:pPr>
        <w:widowControl w:val="1"/>
        <w:spacing w:after="0" w:line="240" w:lineRule="auto"/>
        <w:ind w:firstLine="709"/>
        <w:jc w:val="both"/>
        <w:rPr>
          <w:rFonts w:ascii="Times New Roman" w:hAnsi="Times New Roman"/>
          <w:b w:val="1"/>
          <w:sz w:val="28"/>
        </w:rPr>
      </w:pPr>
      <w:r>
        <w:rPr>
          <w:rFonts w:ascii="Times New Roman" w:hAnsi="Times New Roman"/>
          <w:b w:val="1"/>
          <w:sz w:val="28"/>
        </w:rPr>
        <w:t>Многодетные семьи будут получать пособие даже при превышении дохода</w:t>
      </w:r>
    </w:p>
    <w:p w14:paraId="E1000000">
      <w:pPr>
        <w:widowControl w:val="1"/>
        <w:spacing w:after="0" w:line="240" w:lineRule="auto"/>
        <w:ind w:firstLine="709"/>
        <w:jc w:val="both"/>
        <w:rPr>
          <w:rFonts w:ascii="Times New Roman" w:hAnsi="Times New Roman"/>
          <w:sz w:val="28"/>
        </w:rPr>
      </w:pPr>
    </w:p>
    <w:p w14:paraId="E2000000">
      <w:pPr>
        <w:widowControl w:val="1"/>
        <w:spacing w:after="0" w:line="240" w:lineRule="auto"/>
        <w:ind w:firstLine="709"/>
        <w:jc w:val="both"/>
        <w:rPr>
          <w:rFonts w:ascii="Times New Roman" w:hAnsi="Times New Roman"/>
          <w:sz w:val="28"/>
        </w:rPr>
      </w:pPr>
      <w:r>
        <w:rPr>
          <w:rFonts w:ascii="Times New Roman" w:hAnsi="Times New Roman"/>
          <w:sz w:val="28"/>
        </w:rPr>
        <w:t>С 22 мая 2026 года вступили в силу изменения в закон о государственных пособиях гражданам, имеющим детей, внесенные Федеральным законом от 20 февраля 2026 г. № 29-ФЗ «О внесении изменений в отдельные законодательные акты Российской Федерации».</w:t>
      </w:r>
    </w:p>
    <w:p w14:paraId="E3000000">
      <w:pPr>
        <w:widowControl w:val="1"/>
        <w:spacing w:after="0" w:line="240" w:lineRule="auto"/>
        <w:ind w:firstLine="709"/>
        <w:jc w:val="both"/>
        <w:rPr>
          <w:rFonts w:ascii="Times New Roman" w:hAnsi="Times New Roman"/>
          <w:sz w:val="28"/>
        </w:rPr>
      </w:pPr>
      <w:r>
        <w:rPr>
          <w:rFonts w:ascii="Times New Roman" w:hAnsi="Times New Roman"/>
          <w:sz w:val="28"/>
        </w:rPr>
        <w:t>За многодетными семьями сохранят право на получение ежемесячного пособия в связи с рождением и воспитанием ребенка в размере 50%, если среднедушевой доход семьи незначительно превышает установленный региональный прожиточный минимум (не более чем на 10 %).</w:t>
      </w:r>
    </w:p>
    <w:p w14:paraId="E4000000">
      <w:pPr>
        <w:widowControl w:val="1"/>
        <w:spacing w:after="0" w:line="240" w:lineRule="auto"/>
        <w:ind w:firstLine="709"/>
        <w:jc w:val="both"/>
        <w:rPr>
          <w:rFonts w:ascii="Times New Roman" w:hAnsi="Times New Roman"/>
          <w:sz w:val="28"/>
        </w:rPr>
      </w:pPr>
      <w:r>
        <w:rPr>
          <w:rFonts w:ascii="Times New Roman" w:hAnsi="Times New Roman"/>
          <w:sz w:val="28"/>
        </w:rPr>
        <w:t xml:space="preserve">Изменения распространяются на правоотношения, возникшие с 1 января 2026 года. Отказы в назначении пособия, вынесенные с начала года по причине превышения дохода, будут пересмотрены в </w:t>
      </w:r>
      <w:r>
        <w:rPr>
          <w:rFonts w:ascii="Times New Roman" w:hAnsi="Times New Roman"/>
          <w:sz w:val="28"/>
        </w:rPr>
        <w:t>беззаявительном</w:t>
      </w:r>
      <w:r>
        <w:rPr>
          <w:rFonts w:ascii="Times New Roman" w:hAnsi="Times New Roman"/>
          <w:sz w:val="28"/>
        </w:rPr>
        <w:t xml:space="preserve"> порядке.</w:t>
      </w:r>
    </w:p>
    <w:p w14:paraId="E5000000">
      <w:pPr>
        <w:widowControl w:val="1"/>
        <w:spacing w:after="0" w:line="240" w:lineRule="auto"/>
        <w:ind w:firstLine="709"/>
        <w:jc w:val="both"/>
        <w:rPr>
          <w:rFonts w:ascii="Times New Roman" w:hAnsi="Times New Roman"/>
          <w:sz w:val="28"/>
        </w:rPr>
      </w:pPr>
      <w:r>
        <w:rPr>
          <w:rFonts w:ascii="Times New Roman" w:hAnsi="Times New Roman"/>
          <w:sz w:val="28"/>
        </w:rPr>
        <w:t>Исключение составят случаи, когда после отказа гражданин повторно обратился за пособием, и выплата была назначена до 22 мая 2026 года.</w:t>
      </w:r>
    </w:p>
    <w:p w14:paraId="E6000000">
      <w:pPr>
        <w:widowControl w:val="1"/>
        <w:spacing w:after="0" w:line="240" w:lineRule="auto"/>
        <w:ind w:firstLine="709"/>
        <w:jc w:val="both"/>
        <w:rPr>
          <w:rFonts w:ascii="Times New Roman" w:hAnsi="Times New Roman"/>
          <w:sz w:val="28"/>
        </w:rPr>
      </w:pPr>
    </w:p>
    <w:p w14:paraId="E7000000">
      <w:pPr>
        <w:widowControl w:val="1"/>
        <w:spacing w:after="0" w:line="240" w:lineRule="auto"/>
        <w:ind w:firstLine="709"/>
        <w:jc w:val="both"/>
        <w:rPr>
          <w:rFonts w:ascii="Times New Roman" w:hAnsi="Times New Roman"/>
          <w:sz w:val="28"/>
        </w:rPr>
      </w:pPr>
    </w:p>
    <w:p w14:paraId="E8000000">
      <w:pPr>
        <w:widowControl w:val="1"/>
        <w:spacing w:after="0" w:line="240" w:lineRule="auto"/>
        <w:ind w:firstLine="709"/>
        <w:jc w:val="both"/>
        <w:rPr>
          <w:rFonts w:ascii="Times New Roman" w:hAnsi="Times New Roman"/>
          <w:sz w:val="28"/>
        </w:rPr>
      </w:pPr>
    </w:p>
    <w:p w14:paraId="E9000000">
      <w:pPr>
        <w:widowControl w:val="1"/>
        <w:spacing w:after="0" w:line="240" w:lineRule="auto"/>
        <w:ind w:firstLine="709"/>
        <w:jc w:val="both"/>
        <w:rPr>
          <w:rFonts w:ascii="Times New Roman" w:hAnsi="Times New Roman"/>
          <w:sz w:val="28"/>
        </w:rPr>
      </w:pPr>
    </w:p>
    <w:p w14:paraId="EA000000">
      <w:pPr>
        <w:widowControl w:val="1"/>
        <w:spacing w:after="0" w:line="240" w:lineRule="auto"/>
        <w:ind w:firstLine="709"/>
        <w:jc w:val="both"/>
        <w:rPr>
          <w:rFonts w:ascii="Times New Roman" w:hAnsi="Times New Roman"/>
          <w:sz w:val="28"/>
        </w:rPr>
      </w:pPr>
    </w:p>
    <w:p w14:paraId="EB000000">
      <w:pPr>
        <w:widowControl w:val="1"/>
        <w:spacing w:after="0" w:line="240" w:lineRule="auto"/>
        <w:ind w:firstLine="709"/>
        <w:jc w:val="both"/>
        <w:rPr>
          <w:rFonts w:ascii="Times New Roman" w:hAnsi="Times New Roman"/>
          <w:sz w:val="28"/>
        </w:rPr>
      </w:pPr>
    </w:p>
    <w:p w14:paraId="EC000000">
      <w:pPr>
        <w:widowControl w:val="1"/>
        <w:spacing w:after="0" w:line="240" w:lineRule="auto"/>
        <w:ind w:firstLine="709"/>
        <w:jc w:val="both"/>
        <w:rPr>
          <w:rFonts w:ascii="Times New Roman" w:hAnsi="Times New Roman"/>
          <w:sz w:val="28"/>
        </w:rPr>
      </w:pPr>
    </w:p>
    <w:p w14:paraId="ED000000">
      <w:pPr>
        <w:widowControl w:val="1"/>
        <w:spacing w:after="0" w:line="240" w:lineRule="auto"/>
        <w:ind w:firstLine="709"/>
        <w:jc w:val="both"/>
        <w:rPr>
          <w:rFonts w:ascii="Times New Roman" w:hAnsi="Times New Roman"/>
          <w:sz w:val="28"/>
        </w:rPr>
      </w:pPr>
    </w:p>
    <w:p w14:paraId="EE000000">
      <w:pPr>
        <w:widowControl w:val="1"/>
        <w:spacing w:after="0" w:line="240" w:lineRule="auto"/>
        <w:ind w:firstLine="709"/>
        <w:jc w:val="both"/>
        <w:rPr>
          <w:rFonts w:ascii="Times New Roman" w:hAnsi="Times New Roman"/>
          <w:sz w:val="28"/>
        </w:rPr>
      </w:pPr>
    </w:p>
    <w:p w14:paraId="EF000000">
      <w:pPr>
        <w:widowControl w:val="1"/>
        <w:spacing w:after="0" w:line="240" w:lineRule="auto"/>
        <w:ind w:firstLine="709"/>
        <w:jc w:val="both"/>
        <w:rPr>
          <w:rFonts w:ascii="Times New Roman" w:hAnsi="Times New Roman"/>
          <w:sz w:val="28"/>
        </w:rPr>
      </w:pPr>
    </w:p>
    <w:p w14:paraId="F0000000">
      <w:pPr>
        <w:widowControl w:val="1"/>
        <w:spacing w:after="0" w:line="240" w:lineRule="auto"/>
        <w:ind w:firstLine="709"/>
        <w:jc w:val="both"/>
        <w:rPr>
          <w:rFonts w:ascii="Times New Roman" w:hAnsi="Times New Roman"/>
          <w:sz w:val="28"/>
        </w:rPr>
      </w:pPr>
    </w:p>
    <w:p w14:paraId="F1000000">
      <w:pPr>
        <w:widowControl w:val="1"/>
        <w:spacing w:after="0" w:line="240" w:lineRule="auto"/>
        <w:ind w:firstLine="709"/>
        <w:jc w:val="both"/>
        <w:rPr>
          <w:rFonts w:ascii="Times New Roman" w:hAnsi="Times New Roman"/>
          <w:sz w:val="28"/>
        </w:rPr>
      </w:pPr>
    </w:p>
    <w:p w14:paraId="F2000000">
      <w:pPr>
        <w:widowControl w:val="1"/>
        <w:spacing w:after="0" w:line="240" w:lineRule="auto"/>
        <w:ind w:firstLine="709"/>
        <w:jc w:val="both"/>
        <w:rPr>
          <w:rFonts w:ascii="Times New Roman" w:hAnsi="Times New Roman"/>
          <w:sz w:val="28"/>
        </w:rPr>
      </w:pPr>
    </w:p>
    <w:p w14:paraId="F3000000">
      <w:pPr>
        <w:widowControl w:val="1"/>
        <w:spacing w:after="0" w:line="240" w:lineRule="auto"/>
        <w:ind w:firstLine="709"/>
        <w:jc w:val="both"/>
        <w:rPr>
          <w:rFonts w:ascii="Times New Roman" w:hAnsi="Times New Roman"/>
          <w:sz w:val="28"/>
        </w:rPr>
      </w:pPr>
    </w:p>
    <w:p w14:paraId="F4000000">
      <w:pPr>
        <w:widowControl w:val="1"/>
        <w:spacing w:after="0" w:line="240" w:lineRule="auto"/>
        <w:ind w:firstLine="709"/>
        <w:jc w:val="both"/>
        <w:rPr>
          <w:rFonts w:ascii="Times New Roman" w:hAnsi="Times New Roman"/>
          <w:sz w:val="28"/>
        </w:rPr>
      </w:pPr>
    </w:p>
    <w:p w14:paraId="F5000000">
      <w:pPr>
        <w:widowControl w:val="1"/>
        <w:spacing w:after="0" w:line="240" w:lineRule="auto"/>
        <w:ind w:firstLine="709"/>
        <w:jc w:val="both"/>
        <w:rPr>
          <w:rFonts w:ascii="Times New Roman" w:hAnsi="Times New Roman"/>
          <w:sz w:val="28"/>
        </w:rPr>
      </w:pPr>
    </w:p>
    <w:p w14:paraId="F6000000">
      <w:pPr>
        <w:widowControl w:val="1"/>
        <w:spacing w:after="0" w:line="240" w:lineRule="auto"/>
        <w:ind w:firstLine="709"/>
        <w:jc w:val="both"/>
        <w:rPr>
          <w:rFonts w:ascii="Times New Roman" w:hAnsi="Times New Roman"/>
          <w:sz w:val="28"/>
        </w:rPr>
      </w:pPr>
    </w:p>
    <w:p w14:paraId="F7000000">
      <w:pPr>
        <w:widowControl w:val="1"/>
        <w:spacing w:after="0" w:line="240" w:lineRule="auto"/>
        <w:ind w:firstLine="709"/>
        <w:jc w:val="both"/>
        <w:rPr>
          <w:rFonts w:ascii="Times New Roman" w:hAnsi="Times New Roman"/>
          <w:sz w:val="28"/>
        </w:rPr>
      </w:pPr>
    </w:p>
    <w:p w14:paraId="F8000000">
      <w:pPr>
        <w:widowControl w:val="1"/>
        <w:spacing w:after="0" w:line="240" w:lineRule="auto"/>
        <w:ind w:firstLine="709"/>
        <w:jc w:val="both"/>
        <w:rPr>
          <w:rFonts w:ascii="Times New Roman" w:hAnsi="Times New Roman"/>
          <w:sz w:val="28"/>
        </w:rPr>
      </w:pPr>
    </w:p>
    <w:p w14:paraId="F9000000">
      <w:pPr>
        <w:widowControl w:val="1"/>
        <w:spacing w:after="0" w:line="240" w:lineRule="auto"/>
        <w:ind w:firstLine="709"/>
        <w:jc w:val="both"/>
        <w:rPr>
          <w:rFonts w:ascii="Times New Roman" w:hAnsi="Times New Roman"/>
          <w:sz w:val="28"/>
        </w:rPr>
      </w:pPr>
    </w:p>
    <w:p w14:paraId="FA000000">
      <w:pPr>
        <w:widowControl w:val="1"/>
        <w:spacing w:after="0" w:line="240" w:lineRule="auto"/>
        <w:ind w:firstLine="709"/>
        <w:jc w:val="both"/>
        <w:rPr>
          <w:rFonts w:ascii="Times New Roman" w:hAnsi="Times New Roman"/>
          <w:sz w:val="28"/>
        </w:rPr>
      </w:pPr>
    </w:p>
    <w:p w14:paraId="FB000000">
      <w:pPr>
        <w:widowControl w:val="1"/>
        <w:spacing w:after="0" w:line="240" w:lineRule="auto"/>
        <w:ind w:firstLine="709"/>
        <w:jc w:val="both"/>
        <w:rPr>
          <w:rFonts w:ascii="Times New Roman" w:hAnsi="Times New Roman"/>
          <w:sz w:val="28"/>
        </w:rPr>
      </w:pPr>
    </w:p>
    <w:p w14:paraId="FC000000">
      <w:pPr>
        <w:widowControl w:val="1"/>
        <w:spacing w:after="0" w:line="240" w:lineRule="auto"/>
        <w:ind w:firstLine="709"/>
        <w:jc w:val="both"/>
        <w:rPr>
          <w:rFonts w:ascii="Times New Roman" w:hAnsi="Times New Roman"/>
          <w:sz w:val="28"/>
        </w:rPr>
      </w:pPr>
    </w:p>
    <w:p w14:paraId="FD000000">
      <w:pPr>
        <w:widowControl w:val="1"/>
        <w:spacing w:after="0" w:line="240" w:lineRule="auto"/>
        <w:ind w:firstLine="709"/>
        <w:jc w:val="both"/>
        <w:rPr>
          <w:rFonts w:ascii="Times New Roman" w:hAnsi="Times New Roman"/>
          <w:sz w:val="28"/>
        </w:rPr>
      </w:pPr>
    </w:p>
    <w:p w14:paraId="FE000000">
      <w:pPr>
        <w:widowControl w:val="1"/>
        <w:spacing w:after="0" w:line="240" w:lineRule="auto"/>
        <w:ind w:firstLine="709"/>
        <w:jc w:val="both"/>
        <w:rPr>
          <w:rFonts w:ascii="Times New Roman" w:hAnsi="Times New Roman"/>
          <w:sz w:val="28"/>
        </w:rPr>
      </w:pPr>
    </w:p>
    <w:p w14:paraId="FF000000">
      <w:pPr>
        <w:widowControl w:val="1"/>
        <w:spacing w:after="0" w:line="240" w:lineRule="auto"/>
        <w:ind w:firstLine="709"/>
        <w:jc w:val="both"/>
        <w:rPr>
          <w:rFonts w:ascii="Times New Roman" w:hAnsi="Times New Roman"/>
          <w:b w:val="1"/>
          <w:sz w:val="28"/>
        </w:rPr>
      </w:pPr>
    </w:p>
    <w:p w14:paraId="00010000">
      <w:pPr>
        <w:widowControl w:val="1"/>
        <w:spacing w:after="0" w:line="240" w:lineRule="auto"/>
        <w:ind w:firstLine="709"/>
        <w:jc w:val="both"/>
        <w:rPr>
          <w:rFonts w:ascii="Times New Roman" w:hAnsi="Times New Roman"/>
          <w:b w:val="1"/>
          <w:sz w:val="28"/>
        </w:rPr>
      </w:pPr>
      <w:r>
        <w:rPr>
          <w:rFonts w:ascii="Times New Roman" w:hAnsi="Times New Roman"/>
          <w:b w:val="1"/>
          <w:sz w:val="28"/>
        </w:rPr>
        <w:t>Указом Президента Российской Федерации от 15.05.2026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определены категории лиц, которым предоставляются единые базовые меры поддержки, а также установлен рекомендуемый перечень таких мер для установления в субъектах Российской Федерации.</w:t>
      </w:r>
    </w:p>
    <w:p w14:paraId="01010000">
      <w:pPr>
        <w:widowControl w:val="1"/>
        <w:spacing w:after="0" w:line="240" w:lineRule="auto"/>
        <w:ind w:firstLine="709"/>
        <w:jc w:val="both"/>
        <w:rPr>
          <w:rFonts w:ascii="Times New Roman" w:hAnsi="Times New Roman"/>
          <w:sz w:val="28"/>
        </w:rPr>
      </w:pPr>
      <w:r>
        <w:rPr>
          <w:rFonts w:ascii="Times New Roman" w:hAnsi="Times New Roman"/>
          <w:sz w:val="28"/>
        </w:rPr>
        <w:t xml:space="preserve">Согласно </w:t>
      </w:r>
      <w:r>
        <w:rPr>
          <w:rFonts w:ascii="Times New Roman" w:hAnsi="Times New Roman"/>
          <w:sz w:val="28"/>
        </w:rPr>
        <w:t>Указу</w:t>
      </w:r>
      <w:r>
        <w:rPr>
          <w:rFonts w:ascii="Times New Roman" w:hAnsi="Times New Roman"/>
          <w:sz w:val="28"/>
        </w:rPr>
        <w:t xml:space="preserve"> главам регионов России рекомендуется установить для участников специальной военной операции и их семей следующие базовые меры поддержки:</w:t>
      </w:r>
    </w:p>
    <w:p w14:paraId="02010000">
      <w:pPr>
        <w:widowControl w:val="1"/>
        <w:numPr>
          <w:ilvl w:val="0"/>
          <w:numId w:val="1"/>
        </w:numPr>
        <w:spacing w:after="0" w:line="240" w:lineRule="auto"/>
        <w:ind w:firstLine="709" w:left="0"/>
        <w:jc w:val="both"/>
        <w:rPr>
          <w:rFonts w:ascii="Times New Roman" w:hAnsi="Times New Roman"/>
          <w:sz w:val="28"/>
        </w:rPr>
      </w:pPr>
      <w:r>
        <w:rPr>
          <w:rFonts w:ascii="Times New Roman" w:hAnsi="Times New Roman"/>
          <w:sz w:val="28"/>
        </w:rPr>
        <w:t>льготы при посещении культурных и спортивных организаций и мероприятий;</w:t>
      </w:r>
    </w:p>
    <w:p w14:paraId="03010000">
      <w:pPr>
        <w:widowControl w:val="1"/>
        <w:numPr>
          <w:ilvl w:val="0"/>
          <w:numId w:val="2"/>
        </w:numPr>
        <w:spacing w:after="0" w:line="240" w:lineRule="auto"/>
        <w:ind w:firstLine="709" w:left="0"/>
        <w:jc w:val="both"/>
        <w:rPr>
          <w:rFonts w:ascii="Times New Roman" w:hAnsi="Times New Roman"/>
          <w:sz w:val="28"/>
        </w:rPr>
      </w:pPr>
      <w:r>
        <w:rPr>
          <w:rFonts w:ascii="Times New Roman" w:hAnsi="Times New Roman"/>
          <w:sz w:val="28"/>
        </w:rPr>
        <w:t>субсидии не менее 100 тысяч рублей на газификацию участка;</w:t>
      </w:r>
    </w:p>
    <w:p w14:paraId="04010000">
      <w:pPr>
        <w:widowControl w:val="1"/>
        <w:numPr>
          <w:ilvl w:val="0"/>
          <w:numId w:val="3"/>
        </w:numPr>
        <w:spacing w:after="0" w:line="240" w:lineRule="auto"/>
        <w:ind w:firstLine="709" w:left="0"/>
        <w:jc w:val="both"/>
        <w:rPr>
          <w:rFonts w:ascii="Times New Roman" w:hAnsi="Times New Roman"/>
          <w:sz w:val="28"/>
        </w:rPr>
      </w:pPr>
      <w:r>
        <w:rPr>
          <w:rFonts w:ascii="Times New Roman" w:hAnsi="Times New Roman"/>
          <w:sz w:val="28"/>
        </w:rPr>
        <w:t>содействие в приоритетном трудоустройстве, профессиональном обучении, получении дополнительного профессионального образования или начале предпринимательской деятельности;</w:t>
      </w:r>
    </w:p>
    <w:p w14:paraId="05010000">
      <w:pPr>
        <w:widowControl w:val="1"/>
        <w:numPr>
          <w:ilvl w:val="0"/>
          <w:numId w:val="4"/>
        </w:numPr>
        <w:spacing w:after="0" w:line="240" w:lineRule="auto"/>
        <w:ind w:firstLine="709" w:left="0"/>
        <w:jc w:val="both"/>
        <w:rPr>
          <w:rFonts w:ascii="Times New Roman" w:hAnsi="Times New Roman"/>
          <w:sz w:val="28"/>
        </w:rPr>
      </w:pPr>
      <w:r>
        <w:rPr>
          <w:rFonts w:ascii="Times New Roman" w:hAnsi="Times New Roman"/>
          <w:sz w:val="28"/>
        </w:rPr>
        <w:t>приоритетное оказание социальной помощи;</w:t>
      </w:r>
    </w:p>
    <w:p w14:paraId="06010000">
      <w:pPr>
        <w:widowControl w:val="1"/>
        <w:numPr>
          <w:ilvl w:val="0"/>
          <w:numId w:val="5"/>
        </w:numPr>
        <w:spacing w:after="0" w:line="240" w:lineRule="auto"/>
        <w:ind w:firstLine="709" w:left="0"/>
        <w:jc w:val="both"/>
        <w:rPr>
          <w:rFonts w:ascii="Times New Roman" w:hAnsi="Times New Roman"/>
          <w:sz w:val="28"/>
        </w:rPr>
      </w:pPr>
      <w:r>
        <w:rPr>
          <w:rFonts w:ascii="Times New Roman" w:hAnsi="Times New Roman"/>
          <w:sz w:val="28"/>
        </w:rPr>
        <w:t>дополнительные гарантии на получение бесплатной юридической помощи;</w:t>
      </w:r>
    </w:p>
    <w:p w14:paraId="07010000">
      <w:pPr>
        <w:widowControl w:val="1"/>
        <w:numPr>
          <w:ilvl w:val="0"/>
          <w:numId w:val="6"/>
        </w:numPr>
        <w:spacing w:after="0" w:line="240" w:lineRule="auto"/>
        <w:ind w:firstLine="709" w:left="0"/>
        <w:jc w:val="both"/>
        <w:rPr>
          <w:rFonts w:ascii="Times New Roman" w:hAnsi="Times New Roman"/>
          <w:sz w:val="28"/>
        </w:rPr>
      </w:pPr>
      <w:r>
        <w:rPr>
          <w:rFonts w:ascii="Times New Roman" w:hAnsi="Times New Roman"/>
          <w:sz w:val="28"/>
        </w:rPr>
        <w:t>внеочередное предоставление медицинской помощи и санаторно-курортного лечения;</w:t>
      </w:r>
    </w:p>
    <w:p w14:paraId="08010000">
      <w:pPr>
        <w:widowControl w:val="1"/>
        <w:numPr>
          <w:ilvl w:val="0"/>
          <w:numId w:val="7"/>
        </w:numPr>
        <w:spacing w:after="0" w:line="240" w:lineRule="auto"/>
        <w:ind w:firstLine="709" w:left="0"/>
        <w:jc w:val="both"/>
        <w:rPr>
          <w:rFonts w:ascii="Times New Roman" w:hAnsi="Times New Roman"/>
          <w:sz w:val="28"/>
        </w:rPr>
      </w:pPr>
      <w:r>
        <w:rPr>
          <w:rFonts w:ascii="Times New Roman" w:hAnsi="Times New Roman"/>
          <w:sz w:val="28"/>
        </w:rPr>
        <w:t>бесплатная психологическая помощь;</w:t>
      </w:r>
    </w:p>
    <w:p w14:paraId="09010000">
      <w:pPr>
        <w:widowControl w:val="1"/>
        <w:numPr>
          <w:ilvl w:val="0"/>
          <w:numId w:val="8"/>
        </w:numPr>
        <w:spacing w:after="0" w:line="240" w:lineRule="auto"/>
        <w:ind w:firstLine="709" w:left="0"/>
        <w:jc w:val="both"/>
        <w:rPr>
          <w:rFonts w:ascii="Times New Roman" w:hAnsi="Times New Roman"/>
          <w:sz w:val="28"/>
        </w:rPr>
      </w:pPr>
      <w:r>
        <w:rPr>
          <w:rFonts w:ascii="Times New Roman" w:hAnsi="Times New Roman"/>
          <w:sz w:val="28"/>
        </w:rPr>
        <w:t>зачисление в образовательные организации, близкие к месту жительства, в первоочередном порядке;</w:t>
      </w:r>
    </w:p>
    <w:p w14:paraId="0A010000">
      <w:pPr>
        <w:widowControl w:val="1"/>
        <w:numPr>
          <w:ilvl w:val="0"/>
          <w:numId w:val="9"/>
        </w:numPr>
        <w:spacing w:after="0" w:line="240" w:lineRule="auto"/>
        <w:ind w:firstLine="709" w:left="0"/>
        <w:jc w:val="both"/>
        <w:rPr>
          <w:rFonts w:ascii="Times New Roman" w:hAnsi="Times New Roman"/>
          <w:sz w:val="28"/>
        </w:rPr>
      </w:pPr>
      <w:r>
        <w:rPr>
          <w:rFonts w:ascii="Times New Roman" w:hAnsi="Times New Roman"/>
          <w:sz w:val="28"/>
        </w:rPr>
        <w:t>компенсация или освобождение от платы детских садов и других дошкольных образовательных организаций, а также групп продленного дня в школах;</w:t>
      </w:r>
    </w:p>
    <w:p w14:paraId="0B010000">
      <w:pPr>
        <w:widowControl w:val="1"/>
        <w:numPr>
          <w:ilvl w:val="0"/>
          <w:numId w:val="10"/>
        </w:numPr>
        <w:spacing w:after="0" w:line="240" w:lineRule="auto"/>
        <w:ind w:firstLine="709" w:left="0"/>
        <w:jc w:val="both"/>
        <w:rPr>
          <w:rFonts w:ascii="Times New Roman" w:hAnsi="Times New Roman"/>
          <w:sz w:val="28"/>
        </w:rPr>
      </w:pPr>
      <w:r>
        <w:rPr>
          <w:rFonts w:ascii="Times New Roman" w:hAnsi="Times New Roman"/>
          <w:sz w:val="28"/>
        </w:rPr>
        <w:t>бесплатное посещение детьми дополнительных занятий;</w:t>
      </w:r>
    </w:p>
    <w:p w14:paraId="0C010000">
      <w:pPr>
        <w:widowControl w:val="1"/>
        <w:numPr>
          <w:ilvl w:val="0"/>
          <w:numId w:val="11"/>
        </w:numPr>
        <w:spacing w:after="0" w:line="240" w:lineRule="auto"/>
        <w:ind w:firstLine="709" w:left="0"/>
        <w:jc w:val="both"/>
        <w:rPr>
          <w:rFonts w:ascii="Times New Roman" w:hAnsi="Times New Roman"/>
          <w:sz w:val="28"/>
        </w:rPr>
      </w:pPr>
      <w:r>
        <w:rPr>
          <w:rFonts w:ascii="Times New Roman" w:hAnsi="Times New Roman"/>
          <w:sz w:val="28"/>
        </w:rPr>
        <w:t>приоритетное предоставление социального обслуживания на дому, в полустационарной форме или стационаре;</w:t>
      </w:r>
    </w:p>
    <w:p w14:paraId="0D010000">
      <w:pPr>
        <w:widowControl w:val="1"/>
        <w:numPr>
          <w:ilvl w:val="0"/>
          <w:numId w:val="12"/>
        </w:numPr>
        <w:spacing w:after="0" w:line="240" w:lineRule="auto"/>
        <w:ind w:firstLine="709" w:left="0"/>
        <w:jc w:val="both"/>
        <w:rPr>
          <w:rFonts w:ascii="Times New Roman" w:hAnsi="Times New Roman"/>
          <w:sz w:val="28"/>
        </w:rPr>
      </w:pPr>
      <w:r>
        <w:rPr>
          <w:rFonts w:ascii="Times New Roman" w:hAnsi="Times New Roman"/>
          <w:sz w:val="28"/>
        </w:rPr>
        <w:t>льготные путевки в детские и оздоровительные лагеря.</w:t>
      </w:r>
    </w:p>
    <w:p w14:paraId="0E010000">
      <w:pPr>
        <w:widowControl w:val="1"/>
        <w:spacing w:after="0" w:line="240" w:lineRule="auto"/>
        <w:ind w:firstLine="709"/>
        <w:jc w:val="both"/>
        <w:rPr>
          <w:rFonts w:ascii="Times New Roman" w:hAnsi="Times New Roman"/>
          <w:sz w:val="28"/>
        </w:rPr>
      </w:pPr>
    </w:p>
    <w:p w14:paraId="0F010000">
      <w:pPr>
        <w:widowControl w:val="1"/>
        <w:spacing w:after="0" w:line="240" w:lineRule="auto"/>
        <w:ind w:firstLine="709"/>
        <w:jc w:val="both"/>
        <w:rPr>
          <w:rFonts w:ascii="Times New Roman" w:hAnsi="Times New Roman"/>
          <w:sz w:val="28"/>
        </w:rPr>
      </w:pPr>
    </w:p>
    <w:p w14:paraId="10010000">
      <w:pPr>
        <w:widowControl w:val="1"/>
        <w:spacing w:after="0" w:line="240" w:lineRule="auto"/>
        <w:ind w:firstLine="709"/>
        <w:jc w:val="both"/>
        <w:rPr>
          <w:rFonts w:ascii="Times New Roman" w:hAnsi="Times New Roman"/>
          <w:sz w:val="28"/>
        </w:rPr>
      </w:pPr>
    </w:p>
    <w:p w14:paraId="11010000">
      <w:pPr>
        <w:widowControl w:val="1"/>
        <w:spacing w:after="0" w:line="240" w:lineRule="auto"/>
        <w:ind w:firstLine="709"/>
        <w:jc w:val="both"/>
        <w:rPr>
          <w:rFonts w:ascii="Times New Roman" w:hAnsi="Times New Roman"/>
          <w:sz w:val="28"/>
        </w:rPr>
      </w:pPr>
    </w:p>
    <w:p w14:paraId="12010000">
      <w:pPr>
        <w:widowControl w:val="1"/>
        <w:spacing w:after="0" w:line="240" w:lineRule="auto"/>
        <w:ind w:firstLine="709"/>
        <w:jc w:val="both"/>
        <w:rPr>
          <w:rFonts w:ascii="Times New Roman" w:hAnsi="Times New Roman"/>
          <w:sz w:val="28"/>
        </w:rPr>
      </w:pPr>
    </w:p>
    <w:p w14:paraId="13010000">
      <w:pPr>
        <w:widowControl w:val="1"/>
        <w:spacing w:after="0" w:line="240" w:lineRule="auto"/>
        <w:ind w:firstLine="709"/>
        <w:jc w:val="both"/>
        <w:rPr>
          <w:rFonts w:ascii="Times New Roman" w:hAnsi="Times New Roman"/>
          <w:sz w:val="28"/>
        </w:rPr>
      </w:pPr>
    </w:p>
    <w:p w14:paraId="14010000">
      <w:pPr>
        <w:widowControl w:val="1"/>
        <w:spacing w:after="0" w:line="240" w:lineRule="auto"/>
        <w:ind w:firstLine="709"/>
        <w:jc w:val="both"/>
        <w:rPr>
          <w:rFonts w:ascii="Times New Roman" w:hAnsi="Times New Roman"/>
          <w:sz w:val="28"/>
        </w:rPr>
      </w:pPr>
    </w:p>
    <w:p w14:paraId="15010000">
      <w:pPr>
        <w:widowControl w:val="1"/>
        <w:spacing w:after="0" w:line="240" w:lineRule="auto"/>
        <w:ind w:firstLine="709"/>
        <w:jc w:val="both"/>
        <w:rPr>
          <w:rFonts w:ascii="Times New Roman" w:hAnsi="Times New Roman"/>
          <w:sz w:val="28"/>
        </w:rPr>
      </w:pPr>
    </w:p>
    <w:p w14:paraId="16010000">
      <w:pPr>
        <w:widowControl w:val="1"/>
        <w:spacing w:after="0" w:line="240" w:lineRule="auto"/>
        <w:ind w:firstLine="709"/>
        <w:jc w:val="both"/>
        <w:rPr>
          <w:rFonts w:ascii="Times New Roman" w:hAnsi="Times New Roman"/>
          <w:sz w:val="28"/>
        </w:rPr>
      </w:pPr>
    </w:p>
    <w:p w14:paraId="17010000">
      <w:pPr>
        <w:widowControl w:val="1"/>
        <w:spacing w:after="0" w:line="240" w:lineRule="auto"/>
        <w:ind w:firstLine="709"/>
        <w:jc w:val="both"/>
        <w:rPr>
          <w:rFonts w:ascii="Times New Roman" w:hAnsi="Times New Roman"/>
          <w:sz w:val="28"/>
        </w:rPr>
      </w:pPr>
    </w:p>
    <w:p w14:paraId="18010000">
      <w:pPr>
        <w:widowControl w:val="1"/>
        <w:spacing w:after="0" w:line="240" w:lineRule="auto"/>
        <w:ind w:firstLine="709"/>
        <w:jc w:val="both"/>
        <w:rPr>
          <w:rFonts w:ascii="Times New Roman" w:hAnsi="Times New Roman"/>
          <w:sz w:val="28"/>
        </w:rPr>
      </w:pPr>
    </w:p>
    <w:p w14:paraId="19010000">
      <w:pPr>
        <w:widowControl w:val="1"/>
        <w:spacing w:after="0" w:line="240" w:lineRule="auto"/>
        <w:ind w:firstLine="709"/>
        <w:jc w:val="both"/>
        <w:rPr>
          <w:rFonts w:ascii="Times New Roman" w:hAnsi="Times New Roman"/>
          <w:sz w:val="28"/>
        </w:rPr>
      </w:pPr>
    </w:p>
    <w:p w14:paraId="1A010000">
      <w:pPr>
        <w:widowControl w:val="1"/>
        <w:spacing w:after="0" w:line="240" w:lineRule="auto"/>
        <w:ind w:firstLine="709"/>
        <w:jc w:val="both"/>
        <w:rPr>
          <w:rFonts w:ascii="Times New Roman" w:hAnsi="Times New Roman"/>
          <w:sz w:val="28"/>
        </w:rPr>
      </w:pPr>
    </w:p>
    <w:p w14:paraId="1B010000">
      <w:pPr>
        <w:widowControl w:val="1"/>
        <w:spacing w:after="0" w:line="240" w:lineRule="auto"/>
        <w:ind w:firstLine="709"/>
        <w:jc w:val="both"/>
        <w:rPr>
          <w:rFonts w:ascii="Times New Roman" w:hAnsi="Times New Roman"/>
          <w:b w:val="1"/>
          <w:sz w:val="28"/>
        </w:rPr>
      </w:pPr>
      <w:r>
        <w:rPr>
          <w:rFonts w:ascii="Times New Roman" w:hAnsi="Times New Roman"/>
          <w:b w:val="1"/>
          <w:sz w:val="28"/>
        </w:rPr>
        <w:t>Скорректирован порядок включения в страховой стаж для назначения пенсии периодов ухода за инвалидами и престарелыми людьми</w:t>
      </w:r>
    </w:p>
    <w:p w14:paraId="1C010000">
      <w:pPr>
        <w:widowControl w:val="1"/>
        <w:spacing w:after="0" w:line="240" w:lineRule="auto"/>
        <w:ind w:firstLine="709"/>
        <w:jc w:val="both"/>
        <w:rPr>
          <w:rFonts w:ascii="Times New Roman" w:hAnsi="Times New Roman"/>
          <w:sz w:val="28"/>
        </w:rPr>
      </w:pPr>
    </w:p>
    <w:p w14:paraId="1D010000">
      <w:pPr>
        <w:widowControl w:val="1"/>
        <w:spacing w:after="0" w:line="240" w:lineRule="auto"/>
        <w:ind w:firstLine="709"/>
        <w:jc w:val="both"/>
        <w:rPr>
          <w:rFonts w:ascii="Times New Roman" w:hAnsi="Times New Roman"/>
          <w:sz w:val="28"/>
        </w:rPr>
      </w:pPr>
      <w:r>
        <w:rPr>
          <w:rFonts w:ascii="Times New Roman" w:hAnsi="Times New Roman"/>
          <w:sz w:val="28"/>
        </w:rPr>
        <w:t>Постановлением Правительства РФ от 01.06.2026 № 665 «О внесении изменений в Постановление Правительства Российской Федерации от 2 октября 2014 г. № 1015» скорректирован порядок включения в страховой стаж для назначения пенсии периодов ухода за инвалидами и престарелыми людьми.</w:t>
      </w:r>
    </w:p>
    <w:p w14:paraId="1E010000">
      <w:pPr>
        <w:widowControl w:val="1"/>
        <w:spacing w:after="0" w:line="240" w:lineRule="auto"/>
        <w:ind w:firstLine="709"/>
        <w:jc w:val="both"/>
        <w:rPr>
          <w:rFonts w:ascii="Times New Roman" w:hAnsi="Times New Roman"/>
          <w:sz w:val="28"/>
        </w:rPr>
      </w:pPr>
      <w:r>
        <w:rPr>
          <w:rFonts w:ascii="Times New Roman" w:hAnsi="Times New Roman"/>
          <w:sz w:val="28"/>
        </w:rPr>
        <w:t xml:space="preserve">Согласно внесенным уточнениям период ухода, осуществляемого трудоспособным лицом за инвалидом I группы, ребенком-инвалидом или за лицом, достигшим возраста 80 лет, устанавливается на основании: </w:t>
      </w:r>
    </w:p>
    <w:p w14:paraId="1F010000">
      <w:pPr>
        <w:widowControl w:val="1"/>
        <w:numPr>
          <w:ilvl w:val="0"/>
          <w:numId w:val="13"/>
        </w:numPr>
        <w:spacing w:after="0" w:line="240" w:lineRule="auto"/>
        <w:ind w:firstLine="709" w:left="0"/>
        <w:jc w:val="both"/>
        <w:rPr>
          <w:rFonts w:ascii="Times New Roman" w:hAnsi="Times New Roman"/>
          <w:sz w:val="28"/>
        </w:rPr>
      </w:pPr>
      <w:r>
        <w:rPr>
          <w:rFonts w:ascii="Times New Roman" w:hAnsi="Times New Roman"/>
          <w:sz w:val="28"/>
        </w:rPr>
        <w:t>заявления трудоспособного лица об осуществлении ухода;</w:t>
      </w:r>
    </w:p>
    <w:p w14:paraId="20010000">
      <w:pPr>
        <w:widowControl w:val="1"/>
        <w:numPr>
          <w:ilvl w:val="0"/>
          <w:numId w:val="14"/>
        </w:numPr>
        <w:spacing w:after="0" w:line="240" w:lineRule="auto"/>
        <w:ind w:firstLine="709" w:left="0"/>
        <w:jc w:val="both"/>
        <w:rPr>
          <w:rFonts w:ascii="Times New Roman" w:hAnsi="Times New Roman"/>
          <w:sz w:val="28"/>
        </w:rPr>
      </w:pPr>
      <w:r>
        <w:rPr>
          <w:rFonts w:ascii="Times New Roman" w:hAnsi="Times New Roman"/>
          <w:sz w:val="28"/>
        </w:rPr>
        <w:t>заявления о согласии на осуществление ухода;</w:t>
      </w:r>
    </w:p>
    <w:p w14:paraId="21010000">
      <w:pPr>
        <w:widowControl w:val="1"/>
        <w:numPr>
          <w:ilvl w:val="0"/>
          <w:numId w:val="15"/>
        </w:numPr>
        <w:spacing w:after="0" w:line="240" w:lineRule="auto"/>
        <w:ind w:firstLine="709" w:left="0"/>
        <w:jc w:val="both"/>
        <w:rPr>
          <w:rFonts w:ascii="Times New Roman" w:hAnsi="Times New Roman"/>
          <w:sz w:val="28"/>
        </w:rPr>
      </w:pPr>
      <w:r>
        <w:rPr>
          <w:rFonts w:ascii="Times New Roman" w:hAnsi="Times New Roman"/>
          <w:sz w:val="28"/>
        </w:rPr>
        <w:t>сведений, удостоверяющих факт и продолжительность нахождения на инвалидности, а также возраст (для престарелых и детей-инвалидов) лица, за которым осуществляется уход;</w:t>
      </w:r>
    </w:p>
    <w:p w14:paraId="22010000">
      <w:pPr>
        <w:widowControl w:val="1"/>
        <w:numPr>
          <w:ilvl w:val="0"/>
          <w:numId w:val="16"/>
        </w:numPr>
        <w:spacing w:after="0" w:line="240" w:lineRule="auto"/>
        <w:ind w:firstLine="709" w:left="0"/>
        <w:jc w:val="both"/>
        <w:rPr>
          <w:rFonts w:ascii="Times New Roman" w:hAnsi="Times New Roman"/>
          <w:sz w:val="28"/>
        </w:rPr>
      </w:pPr>
      <w:r>
        <w:rPr>
          <w:rFonts w:ascii="Times New Roman" w:hAnsi="Times New Roman"/>
          <w:sz w:val="28"/>
        </w:rPr>
        <w:t>сведений о неосуществлении ежемесячной выплаты в соответствии с Указом № 175.</w:t>
      </w:r>
    </w:p>
    <w:p w14:paraId="23010000">
      <w:pPr>
        <w:widowControl w:val="1"/>
        <w:spacing w:after="0" w:line="240" w:lineRule="auto"/>
        <w:ind w:firstLine="709"/>
        <w:jc w:val="both"/>
        <w:rPr>
          <w:rFonts w:ascii="Times New Roman" w:hAnsi="Times New Roman"/>
          <w:sz w:val="28"/>
        </w:rPr>
      </w:pPr>
      <w:r>
        <w:rPr>
          <w:rFonts w:ascii="Times New Roman" w:hAnsi="Times New Roman"/>
          <w:sz w:val="28"/>
        </w:rPr>
        <w:t>Установлена обязанность трудоспособного лица ежегодно подтверждать осуществление ухода путем подачи заявления по утвержденной форме. Заявление подается до истечения 12 месяцев с месяца подачи заявления об осуществлении ухода или предыдущего заявления о продолжении ухода. Т</w:t>
      </w:r>
      <w:r>
        <w:rPr>
          <w:rFonts w:ascii="Times New Roman" w:hAnsi="Times New Roman"/>
          <w:sz w:val="28"/>
        </w:rPr>
        <w:t>рудоспособный гражданин обязан в течение 5 рабочих дней уведомить орган пенсионного обеспечения по месту жительства подопечного о прекращении ухода, направив извещение по установленной форме. Утверждены необходимые формы документов.</w:t>
      </w:r>
    </w:p>
    <w:p w14:paraId="24010000">
      <w:pPr>
        <w:widowControl w:val="1"/>
        <w:spacing w:after="0" w:line="240" w:lineRule="auto"/>
        <w:ind w:firstLine="709"/>
        <w:jc w:val="both"/>
        <w:rPr>
          <w:rFonts w:ascii="Times New Roman" w:hAnsi="Times New Roman"/>
          <w:sz w:val="28"/>
        </w:rPr>
      </w:pPr>
    </w:p>
    <w:p w14:paraId="25010000">
      <w:pPr>
        <w:widowControl w:val="1"/>
        <w:spacing w:after="0" w:line="240" w:lineRule="auto"/>
        <w:ind w:firstLine="709"/>
        <w:jc w:val="both"/>
        <w:rPr>
          <w:rFonts w:ascii="Times New Roman" w:hAnsi="Times New Roman"/>
          <w:sz w:val="28"/>
        </w:rPr>
      </w:pPr>
    </w:p>
    <w:p w14:paraId="26010000">
      <w:pPr>
        <w:widowControl w:val="1"/>
        <w:spacing w:after="0" w:line="240" w:lineRule="auto"/>
        <w:ind w:firstLine="709"/>
        <w:jc w:val="both"/>
        <w:rPr>
          <w:rFonts w:ascii="Times New Roman" w:hAnsi="Times New Roman"/>
          <w:sz w:val="28"/>
        </w:rPr>
      </w:pPr>
    </w:p>
    <w:p w14:paraId="27010000">
      <w:pPr>
        <w:widowControl w:val="1"/>
        <w:spacing w:after="0" w:line="240" w:lineRule="auto"/>
        <w:ind w:firstLine="709"/>
        <w:jc w:val="both"/>
        <w:rPr>
          <w:rFonts w:ascii="Times New Roman" w:hAnsi="Times New Roman"/>
          <w:sz w:val="28"/>
        </w:rPr>
      </w:pPr>
    </w:p>
    <w:p w14:paraId="28010000">
      <w:pPr>
        <w:widowControl w:val="1"/>
        <w:spacing w:after="0" w:line="240" w:lineRule="auto"/>
        <w:ind w:firstLine="709"/>
        <w:jc w:val="both"/>
        <w:rPr>
          <w:rFonts w:ascii="Times New Roman" w:hAnsi="Times New Roman"/>
          <w:sz w:val="28"/>
        </w:rPr>
      </w:pPr>
    </w:p>
    <w:p w14:paraId="29010000">
      <w:pPr>
        <w:widowControl w:val="1"/>
        <w:spacing w:after="0" w:line="240" w:lineRule="auto"/>
        <w:ind w:firstLine="709"/>
        <w:jc w:val="both"/>
        <w:rPr>
          <w:rFonts w:ascii="Times New Roman" w:hAnsi="Times New Roman"/>
          <w:sz w:val="28"/>
        </w:rPr>
      </w:pPr>
    </w:p>
    <w:p w14:paraId="2A010000">
      <w:pPr>
        <w:widowControl w:val="1"/>
        <w:spacing w:after="0" w:line="240" w:lineRule="auto"/>
        <w:ind w:firstLine="709"/>
        <w:jc w:val="both"/>
        <w:rPr>
          <w:rFonts w:ascii="Times New Roman" w:hAnsi="Times New Roman"/>
          <w:sz w:val="28"/>
        </w:rPr>
      </w:pPr>
    </w:p>
    <w:p w14:paraId="2B010000">
      <w:pPr>
        <w:widowControl w:val="1"/>
        <w:spacing w:after="0" w:line="240" w:lineRule="auto"/>
        <w:ind w:firstLine="709"/>
        <w:jc w:val="both"/>
        <w:rPr>
          <w:rFonts w:ascii="Times New Roman" w:hAnsi="Times New Roman"/>
          <w:sz w:val="28"/>
        </w:rPr>
      </w:pPr>
    </w:p>
    <w:p w14:paraId="2C010000">
      <w:pPr>
        <w:widowControl w:val="1"/>
        <w:spacing w:after="0" w:line="240" w:lineRule="auto"/>
        <w:ind w:firstLine="709"/>
        <w:jc w:val="both"/>
        <w:rPr>
          <w:rFonts w:ascii="Times New Roman" w:hAnsi="Times New Roman"/>
          <w:sz w:val="28"/>
        </w:rPr>
      </w:pPr>
    </w:p>
    <w:p w14:paraId="2D010000">
      <w:pPr>
        <w:widowControl w:val="1"/>
        <w:spacing w:after="0" w:line="240" w:lineRule="auto"/>
        <w:ind w:firstLine="709"/>
        <w:jc w:val="both"/>
        <w:rPr>
          <w:rFonts w:ascii="Times New Roman" w:hAnsi="Times New Roman"/>
          <w:sz w:val="28"/>
        </w:rPr>
      </w:pPr>
    </w:p>
    <w:p w14:paraId="2E010000">
      <w:pPr>
        <w:widowControl w:val="1"/>
        <w:spacing w:after="0" w:line="240" w:lineRule="auto"/>
        <w:ind w:firstLine="709"/>
        <w:jc w:val="both"/>
        <w:rPr>
          <w:rFonts w:ascii="Times New Roman" w:hAnsi="Times New Roman"/>
          <w:sz w:val="28"/>
        </w:rPr>
      </w:pPr>
    </w:p>
    <w:p w14:paraId="2F010000">
      <w:pPr>
        <w:widowControl w:val="1"/>
        <w:spacing w:after="0" w:line="240" w:lineRule="auto"/>
        <w:ind w:firstLine="709"/>
        <w:jc w:val="both"/>
        <w:rPr>
          <w:rFonts w:ascii="Times New Roman" w:hAnsi="Times New Roman"/>
          <w:sz w:val="28"/>
        </w:rPr>
      </w:pPr>
    </w:p>
    <w:p w14:paraId="30010000">
      <w:pPr>
        <w:widowControl w:val="1"/>
        <w:spacing w:after="0" w:line="240" w:lineRule="auto"/>
        <w:ind w:firstLine="709"/>
        <w:jc w:val="both"/>
        <w:rPr>
          <w:rFonts w:ascii="Times New Roman" w:hAnsi="Times New Roman"/>
          <w:sz w:val="28"/>
        </w:rPr>
      </w:pPr>
    </w:p>
    <w:p w14:paraId="31010000">
      <w:pPr>
        <w:widowControl w:val="1"/>
        <w:spacing w:after="0" w:line="240" w:lineRule="auto"/>
        <w:ind w:firstLine="709"/>
        <w:jc w:val="both"/>
        <w:rPr>
          <w:rFonts w:ascii="Times New Roman" w:hAnsi="Times New Roman"/>
          <w:sz w:val="28"/>
        </w:rPr>
      </w:pPr>
    </w:p>
    <w:p w14:paraId="32010000">
      <w:pPr>
        <w:widowControl w:val="1"/>
        <w:spacing w:after="0" w:line="240" w:lineRule="auto"/>
        <w:ind w:firstLine="709"/>
        <w:jc w:val="both"/>
        <w:rPr>
          <w:rFonts w:ascii="Times New Roman" w:hAnsi="Times New Roman"/>
          <w:sz w:val="28"/>
        </w:rPr>
      </w:pPr>
    </w:p>
    <w:p w14:paraId="33010000">
      <w:pPr>
        <w:widowControl w:val="1"/>
        <w:spacing w:after="0" w:line="240" w:lineRule="auto"/>
        <w:ind w:firstLine="709"/>
        <w:jc w:val="both"/>
        <w:rPr>
          <w:rFonts w:ascii="Times New Roman" w:hAnsi="Times New Roman"/>
          <w:sz w:val="28"/>
        </w:rPr>
      </w:pPr>
    </w:p>
    <w:p w14:paraId="34010000">
      <w:pPr>
        <w:widowControl w:val="1"/>
        <w:spacing w:after="0" w:line="240" w:lineRule="auto"/>
        <w:ind w:firstLine="709"/>
        <w:jc w:val="both"/>
        <w:rPr>
          <w:rFonts w:ascii="Times New Roman" w:hAnsi="Times New Roman"/>
          <w:sz w:val="28"/>
        </w:rPr>
      </w:pPr>
    </w:p>
    <w:p w14:paraId="35010000">
      <w:pPr>
        <w:widowControl w:val="1"/>
        <w:spacing w:after="0" w:line="240" w:lineRule="auto"/>
        <w:ind w:firstLine="709"/>
        <w:jc w:val="both"/>
        <w:rPr>
          <w:rFonts w:ascii="Times New Roman" w:hAnsi="Times New Roman"/>
          <w:sz w:val="28"/>
        </w:rPr>
      </w:pPr>
    </w:p>
    <w:p w14:paraId="36010000">
      <w:pPr>
        <w:widowControl w:val="1"/>
        <w:spacing w:after="0" w:line="240" w:lineRule="auto"/>
        <w:ind w:firstLine="709"/>
        <w:jc w:val="both"/>
        <w:rPr>
          <w:rFonts w:ascii="Times New Roman" w:hAnsi="Times New Roman"/>
          <w:b w:val="1"/>
          <w:sz w:val="28"/>
        </w:rPr>
      </w:pPr>
      <w:r>
        <w:rPr>
          <w:rFonts w:ascii="Times New Roman" w:hAnsi="Times New Roman"/>
          <w:b w:val="1"/>
          <w:sz w:val="28"/>
        </w:rPr>
        <w:t xml:space="preserve">Правила получения налогового вычета за объекты недвижимости </w:t>
      </w:r>
    </w:p>
    <w:p w14:paraId="37010000">
      <w:pPr>
        <w:widowControl w:val="1"/>
        <w:spacing w:after="0" w:line="240" w:lineRule="auto"/>
        <w:ind w:firstLine="709"/>
        <w:jc w:val="both"/>
        <w:rPr>
          <w:rFonts w:ascii="Times New Roman" w:hAnsi="Times New Roman"/>
          <w:sz w:val="28"/>
        </w:rPr>
      </w:pPr>
    </w:p>
    <w:p w14:paraId="38010000">
      <w:pPr>
        <w:widowControl w:val="1"/>
        <w:spacing w:after="0" w:line="240" w:lineRule="auto"/>
        <w:ind w:firstLine="709"/>
        <w:jc w:val="both"/>
        <w:rPr>
          <w:rFonts w:ascii="Times New Roman" w:hAnsi="Times New Roman"/>
          <w:sz w:val="28"/>
        </w:rPr>
      </w:pPr>
      <w:r>
        <w:rPr>
          <w:rFonts w:ascii="Times New Roman" w:hAnsi="Times New Roman"/>
          <w:sz w:val="28"/>
        </w:rPr>
        <w:t>Получить налоговый вычет можно за строительство (покупку) дома, квартиры, комнаты, приобретение земельного участка для ИЖС, а также за погашение процента по кредиту на покупку (строительство) жилой недвижимости. При этом, ограничений по срокам получения указанного вычета не имеется.</w:t>
      </w:r>
    </w:p>
    <w:p w14:paraId="39010000">
      <w:pPr>
        <w:widowControl w:val="1"/>
        <w:spacing w:after="0" w:line="240" w:lineRule="auto"/>
        <w:ind w:firstLine="709"/>
        <w:jc w:val="both"/>
        <w:rPr>
          <w:rFonts w:ascii="Times New Roman" w:hAnsi="Times New Roman"/>
          <w:sz w:val="28"/>
        </w:rPr>
      </w:pPr>
      <w:r>
        <w:rPr>
          <w:rFonts w:ascii="Times New Roman" w:hAnsi="Times New Roman"/>
          <w:sz w:val="28"/>
        </w:rPr>
        <w:t>Важно помнить, что данный налоговый вычет нельзя получить, если объект куплен (построен) на средства материнского капитала, субсидий, военной ипотеки, получен в наследство или приобретен у родственников.</w:t>
      </w:r>
    </w:p>
    <w:p w14:paraId="3A010000">
      <w:pPr>
        <w:widowControl w:val="1"/>
        <w:spacing w:after="0" w:line="240" w:lineRule="auto"/>
        <w:ind w:firstLine="709"/>
        <w:jc w:val="both"/>
        <w:rPr>
          <w:rFonts w:ascii="Times New Roman" w:hAnsi="Times New Roman"/>
          <w:sz w:val="28"/>
        </w:rPr>
      </w:pPr>
      <w:r>
        <w:rPr>
          <w:rFonts w:ascii="Times New Roman" w:hAnsi="Times New Roman"/>
          <w:sz w:val="28"/>
        </w:rPr>
        <w:t>Если жилье куплено в браке, вычет в полном объеме сможет получить любой из супругов.</w:t>
      </w:r>
    </w:p>
    <w:p w14:paraId="3B010000">
      <w:pPr>
        <w:widowControl w:val="1"/>
        <w:spacing w:after="0" w:line="240" w:lineRule="auto"/>
        <w:ind w:firstLine="709"/>
        <w:jc w:val="both"/>
        <w:rPr>
          <w:rFonts w:ascii="Times New Roman" w:hAnsi="Times New Roman"/>
          <w:sz w:val="28"/>
        </w:rPr>
      </w:pPr>
      <w:r>
        <w:rPr>
          <w:rFonts w:ascii="Times New Roman" w:hAnsi="Times New Roman"/>
          <w:sz w:val="28"/>
        </w:rPr>
        <w:t>Для получения налогового вычета необходимо обратиться в налоговую инспекцию по месту регистрации с заявлением или прикрепить сканы документов и заполнить форму заявления в личном кабинете налогоплательщика в мобильном приложении. Также для получения вычета надлежит предоставить декларацию по форме 3-НДФЛ, справку о доходах по форме 2-НДФЛ (получается у работодателя), выписку из ЕГРН, договор на приобретение объекта недвижимости и документы, подтверждающие расходы на покупку имущества.</w:t>
      </w:r>
    </w:p>
    <w:p w14:paraId="3C010000">
      <w:pPr>
        <w:widowControl w:val="1"/>
        <w:spacing w:after="0" w:line="240" w:lineRule="auto"/>
        <w:ind w:firstLine="709"/>
        <w:jc w:val="both"/>
        <w:rPr>
          <w:rFonts w:ascii="Times New Roman" w:hAnsi="Times New Roman"/>
          <w:sz w:val="28"/>
        </w:rPr>
      </w:pPr>
    </w:p>
    <w:p w14:paraId="3D010000">
      <w:pPr>
        <w:widowControl w:val="1"/>
        <w:spacing w:after="0" w:line="240" w:lineRule="auto"/>
        <w:ind w:firstLine="709"/>
        <w:jc w:val="both"/>
        <w:rPr>
          <w:rFonts w:ascii="Times New Roman" w:hAnsi="Times New Roman"/>
          <w:sz w:val="28"/>
        </w:rPr>
      </w:pPr>
    </w:p>
    <w:p w14:paraId="3E010000">
      <w:pPr>
        <w:widowControl w:val="1"/>
        <w:spacing w:after="0" w:line="240" w:lineRule="auto"/>
        <w:ind w:firstLine="709"/>
        <w:jc w:val="both"/>
        <w:rPr>
          <w:rFonts w:ascii="Times New Roman" w:hAnsi="Times New Roman"/>
          <w:sz w:val="28"/>
        </w:rPr>
      </w:pPr>
    </w:p>
    <w:p w14:paraId="3F010000">
      <w:pPr>
        <w:widowControl w:val="1"/>
        <w:spacing w:after="0" w:line="240" w:lineRule="auto"/>
        <w:ind w:firstLine="709"/>
        <w:jc w:val="both"/>
        <w:rPr>
          <w:rFonts w:ascii="Times New Roman" w:hAnsi="Times New Roman"/>
          <w:sz w:val="28"/>
        </w:rPr>
      </w:pPr>
    </w:p>
    <w:p w14:paraId="40010000">
      <w:pPr>
        <w:widowControl w:val="1"/>
        <w:spacing w:after="0" w:line="240" w:lineRule="auto"/>
        <w:ind w:firstLine="709"/>
        <w:jc w:val="both"/>
        <w:rPr>
          <w:rFonts w:ascii="Times New Roman" w:hAnsi="Times New Roman"/>
          <w:sz w:val="28"/>
        </w:rPr>
      </w:pPr>
    </w:p>
    <w:p w14:paraId="41010000">
      <w:pPr>
        <w:widowControl w:val="1"/>
        <w:spacing w:after="0" w:line="240" w:lineRule="auto"/>
        <w:ind w:firstLine="709"/>
        <w:jc w:val="both"/>
        <w:rPr>
          <w:rFonts w:ascii="Times New Roman" w:hAnsi="Times New Roman"/>
          <w:sz w:val="28"/>
        </w:rPr>
      </w:pPr>
    </w:p>
    <w:p w14:paraId="42010000">
      <w:pPr>
        <w:widowControl w:val="1"/>
        <w:spacing w:after="0" w:line="240" w:lineRule="auto"/>
        <w:ind w:firstLine="709"/>
        <w:jc w:val="both"/>
        <w:rPr>
          <w:rFonts w:ascii="Times New Roman" w:hAnsi="Times New Roman"/>
          <w:sz w:val="28"/>
        </w:rPr>
      </w:pPr>
    </w:p>
    <w:p w14:paraId="43010000">
      <w:pPr>
        <w:widowControl w:val="1"/>
        <w:spacing w:after="0" w:line="240" w:lineRule="auto"/>
        <w:ind w:firstLine="709"/>
        <w:jc w:val="both"/>
        <w:rPr>
          <w:rFonts w:ascii="Times New Roman" w:hAnsi="Times New Roman"/>
          <w:sz w:val="28"/>
        </w:rPr>
      </w:pPr>
    </w:p>
    <w:p w14:paraId="44010000">
      <w:pPr>
        <w:widowControl w:val="1"/>
        <w:spacing w:after="0" w:line="240" w:lineRule="auto"/>
        <w:ind w:firstLine="709"/>
        <w:jc w:val="both"/>
        <w:rPr>
          <w:rFonts w:ascii="Times New Roman" w:hAnsi="Times New Roman"/>
          <w:sz w:val="28"/>
        </w:rPr>
      </w:pPr>
    </w:p>
    <w:p w14:paraId="45010000">
      <w:pPr>
        <w:widowControl w:val="1"/>
        <w:spacing w:after="0" w:line="240" w:lineRule="auto"/>
        <w:ind w:firstLine="709"/>
        <w:jc w:val="both"/>
        <w:rPr>
          <w:rFonts w:ascii="Times New Roman" w:hAnsi="Times New Roman"/>
          <w:sz w:val="28"/>
        </w:rPr>
      </w:pPr>
    </w:p>
    <w:p w14:paraId="46010000">
      <w:pPr>
        <w:widowControl w:val="1"/>
        <w:spacing w:after="0" w:line="240" w:lineRule="auto"/>
        <w:ind w:firstLine="709"/>
        <w:jc w:val="both"/>
        <w:rPr>
          <w:rFonts w:ascii="Times New Roman" w:hAnsi="Times New Roman"/>
          <w:sz w:val="28"/>
        </w:rPr>
      </w:pPr>
    </w:p>
    <w:p w14:paraId="47010000">
      <w:pPr>
        <w:widowControl w:val="1"/>
        <w:spacing w:after="0" w:line="240" w:lineRule="auto"/>
        <w:ind w:firstLine="709"/>
        <w:jc w:val="both"/>
        <w:rPr>
          <w:rFonts w:ascii="Times New Roman" w:hAnsi="Times New Roman"/>
          <w:sz w:val="28"/>
        </w:rPr>
      </w:pPr>
    </w:p>
    <w:p w14:paraId="48010000">
      <w:pPr>
        <w:widowControl w:val="1"/>
        <w:spacing w:after="0" w:line="240" w:lineRule="auto"/>
        <w:ind w:firstLine="709"/>
        <w:jc w:val="both"/>
        <w:rPr>
          <w:rFonts w:ascii="Times New Roman" w:hAnsi="Times New Roman"/>
          <w:sz w:val="28"/>
        </w:rPr>
      </w:pPr>
    </w:p>
    <w:p w14:paraId="49010000">
      <w:pPr>
        <w:widowControl w:val="1"/>
        <w:spacing w:after="0" w:line="240" w:lineRule="auto"/>
        <w:ind w:firstLine="709"/>
        <w:jc w:val="both"/>
        <w:rPr>
          <w:rFonts w:ascii="Times New Roman" w:hAnsi="Times New Roman"/>
          <w:sz w:val="28"/>
        </w:rPr>
      </w:pPr>
    </w:p>
    <w:p w14:paraId="4A010000">
      <w:pPr>
        <w:widowControl w:val="1"/>
        <w:spacing w:after="0" w:line="240" w:lineRule="auto"/>
        <w:ind w:firstLine="709"/>
        <w:jc w:val="both"/>
        <w:rPr>
          <w:rFonts w:ascii="Times New Roman" w:hAnsi="Times New Roman"/>
          <w:sz w:val="28"/>
        </w:rPr>
      </w:pPr>
    </w:p>
    <w:p w14:paraId="4B010000">
      <w:pPr>
        <w:widowControl w:val="1"/>
        <w:spacing w:after="0" w:line="240" w:lineRule="auto"/>
        <w:ind w:firstLine="709"/>
        <w:jc w:val="both"/>
        <w:rPr>
          <w:rFonts w:ascii="Times New Roman" w:hAnsi="Times New Roman"/>
          <w:sz w:val="28"/>
        </w:rPr>
      </w:pPr>
    </w:p>
    <w:p w14:paraId="4C010000">
      <w:pPr>
        <w:widowControl w:val="1"/>
        <w:spacing w:after="0" w:line="240" w:lineRule="auto"/>
        <w:ind w:firstLine="709"/>
        <w:jc w:val="both"/>
        <w:rPr>
          <w:rFonts w:ascii="Times New Roman" w:hAnsi="Times New Roman"/>
          <w:sz w:val="28"/>
        </w:rPr>
      </w:pPr>
    </w:p>
    <w:p w14:paraId="4D010000">
      <w:pPr>
        <w:widowControl w:val="1"/>
        <w:spacing w:after="0" w:line="240" w:lineRule="auto"/>
        <w:ind w:firstLine="709"/>
        <w:jc w:val="both"/>
        <w:rPr>
          <w:rFonts w:ascii="Times New Roman" w:hAnsi="Times New Roman"/>
          <w:sz w:val="28"/>
        </w:rPr>
      </w:pPr>
    </w:p>
    <w:p w14:paraId="4E010000">
      <w:pPr>
        <w:widowControl w:val="1"/>
        <w:spacing w:after="0" w:line="240" w:lineRule="auto"/>
        <w:ind w:firstLine="709"/>
        <w:jc w:val="both"/>
        <w:rPr>
          <w:rFonts w:ascii="Times New Roman" w:hAnsi="Times New Roman"/>
          <w:sz w:val="28"/>
        </w:rPr>
      </w:pPr>
    </w:p>
    <w:p w14:paraId="4F010000">
      <w:pPr>
        <w:widowControl w:val="1"/>
        <w:spacing w:after="0" w:line="240" w:lineRule="auto"/>
        <w:ind w:firstLine="709"/>
        <w:jc w:val="both"/>
        <w:rPr>
          <w:rFonts w:ascii="Times New Roman" w:hAnsi="Times New Roman"/>
          <w:sz w:val="28"/>
        </w:rPr>
      </w:pPr>
    </w:p>
    <w:p w14:paraId="50010000">
      <w:pPr>
        <w:widowControl w:val="1"/>
        <w:spacing w:after="0" w:line="240" w:lineRule="auto"/>
        <w:ind w:firstLine="709"/>
        <w:jc w:val="both"/>
        <w:rPr>
          <w:rFonts w:ascii="Times New Roman" w:hAnsi="Times New Roman"/>
          <w:sz w:val="28"/>
        </w:rPr>
      </w:pPr>
    </w:p>
    <w:p w14:paraId="51010000">
      <w:pPr>
        <w:widowControl w:val="1"/>
        <w:spacing w:after="0" w:line="240" w:lineRule="auto"/>
        <w:ind w:firstLine="709"/>
        <w:jc w:val="both"/>
        <w:rPr>
          <w:rFonts w:ascii="Times New Roman" w:hAnsi="Times New Roman"/>
          <w:sz w:val="28"/>
        </w:rPr>
      </w:pPr>
    </w:p>
    <w:p w14:paraId="52010000">
      <w:pPr>
        <w:widowControl w:val="1"/>
        <w:spacing w:after="0" w:line="240" w:lineRule="auto"/>
        <w:ind w:firstLine="709"/>
        <w:jc w:val="both"/>
        <w:rPr>
          <w:rFonts w:ascii="Times New Roman" w:hAnsi="Times New Roman"/>
          <w:sz w:val="28"/>
        </w:rPr>
      </w:pPr>
    </w:p>
    <w:p w14:paraId="53010000">
      <w:pPr>
        <w:widowControl w:val="1"/>
        <w:spacing w:after="0" w:line="240" w:lineRule="auto"/>
        <w:ind w:firstLine="709"/>
        <w:jc w:val="both"/>
        <w:rPr>
          <w:rFonts w:ascii="Times New Roman" w:hAnsi="Times New Roman"/>
          <w:sz w:val="28"/>
        </w:rPr>
      </w:pPr>
    </w:p>
    <w:p w14:paraId="54010000">
      <w:pPr>
        <w:widowControl w:val="1"/>
        <w:spacing w:after="0" w:line="240" w:lineRule="auto"/>
        <w:ind w:firstLine="709"/>
        <w:jc w:val="both"/>
        <w:rPr>
          <w:rFonts w:ascii="Times New Roman" w:hAnsi="Times New Roman"/>
          <w:sz w:val="28"/>
        </w:rPr>
      </w:pPr>
    </w:p>
    <w:p w14:paraId="55010000">
      <w:pPr>
        <w:widowControl w:val="1"/>
        <w:spacing w:after="0" w:line="240" w:lineRule="auto"/>
        <w:ind w:firstLine="709"/>
        <w:jc w:val="center"/>
        <w:rPr>
          <w:rFonts w:ascii="Times New Roman" w:hAnsi="Times New Roman"/>
          <w:b w:val="1"/>
          <w:sz w:val="28"/>
        </w:rPr>
      </w:pPr>
      <w:r>
        <w:rPr>
          <w:rFonts w:ascii="Times New Roman" w:hAnsi="Times New Roman"/>
          <w:b w:val="1"/>
          <w:sz w:val="28"/>
        </w:rPr>
        <w:t>Ответственность за неуплату алиментов</w:t>
      </w:r>
    </w:p>
    <w:p w14:paraId="56010000">
      <w:pPr>
        <w:widowControl w:val="1"/>
        <w:spacing w:after="0" w:line="240" w:lineRule="auto"/>
        <w:ind w:firstLine="709"/>
        <w:jc w:val="both"/>
        <w:rPr>
          <w:rFonts w:ascii="Times New Roman" w:hAnsi="Times New Roman"/>
          <w:sz w:val="28"/>
        </w:rPr>
      </w:pPr>
    </w:p>
    <w:p w14:paraId="57010000">
      <w:pPr>
        <w:widowControl w:val="1"/>
        <w:spacing w:after="0" w:line="240" w:lineRule="auto"/>
        <w:ind w:firstLine="709"/>
        <w:jc w:val="both"/>
        <w:rPr>
          <w:rFonts w:ascii="Times New Roman" w:hAnsi="Times New Roman"/>
          <w:sz w:val="26"/>
        </w:rPr>
      </w:pPr>
      <w:r>
        <w:rPr>
          <w:rFonts w:ascii="Times New Roman" w:hAnsi="Times New Roman"/>
          <w:sz w:val="26"/>
        </w:rPr>
        <w:t>За неуплату алиментов установлена административная и уголовная ответственность.</w:t>
      </w:r>
    </w:p>
    <w:p w14:paraId="58010000">
      <w:pPr>
        <w:widowControl w:val="1"/>
        <w:spacing w:after="0" w:line="240" w:lineRule="auto"/>
        <w:ind w:firstLine="709"/>
        <w:jc w:val="both"/>
        <w:rPr>
          <w:rFonts w:ascii="Times New Roman" w:hAnsi="Times New Roman"/>
          <w:sz w:val="26"/>
        </w:rPr>
      </w:pPr>
      <w:r>
        <w:rPr>
          <w:rFonts w:ascii="Times New Roman" w:hAnsi="Times New Roman"/>
          <w:sz w:val="26"/>
        </w:rPr>
        <w:t>Административная ответственность предусмотрена ст. 5.35.1 Кодекса Российской Федерации об административных правонарушениях (далее - КоАП РФ), уголовная - ст. 157 Уголовного кодекса Российской Федерации (далее - УК РФ).</w:t>
      </w:r>
    </w:p>
    <w:p w14:paraId="59010000">
      <w:pPr>
        <w:widowControl w:val="1"/>
        <w:spacing w:after="0" w:line="240" w:lineRule="auto"/>
        <w:ind w:firstLine="709"/>
        <w:jc w:val="both"/>
        <w:rPr>
          <w:rFonts w:ascii="Times New Roman" w:hAnsi="Times New Roman"/>
          <w:sz w:val="26"/>
        </w:rPr>
      </w:pPr>
      <w:r>
        <w:rPr>
          <w:rFonts w:ascii="Times New Roman" w:hAnsi="Times New Roman"/>
          <w:sz w:val="26"/>
        </w:rPr>
        <w:t>Разграничение между административной и уголовной ответственностью происходит по признаку неоднократности, который в соответствии с примечанием № 1 к ст. 157 УК РФ определяется как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подвергнутым административному наказанию за аналогичное деяние, в период, когда лицо считается подвергнутым административному наказанию.</w:t>
      </w:r>
    </w:p>
    <w:p w14:paraId="5A010000">
      <w:pPr>
        <w:widowControl w:val="1"/>
        <w:spacing w:after="0" w:line="240" w:lineRule="auto"/>
        <w:ind w:firstLine="709"/>
        <w:jc w:val="both"/>
        <w:rPr>
          <w:rFonts w:ascii="Times New Roman" w:hAnsi="Times New Roman"/>
          <w:sz w:val="26"/>
        </w:rPr>
      </w:pPr>
      <w:r>
        <w:rPr>
          <w:rFonts w:ascii="Times New Roman" w:hAnsi="Times New Roman"/>
          <w:sz w:val="26"/>
        </w:rPr>
        <w:t>Иными словами, должник, подвергнутый административному наказанию по ст. 5.35.1 КоАП РФ в случае дальнейшего неисполнения алиментных обязательств подлежит привлечению к уголовной ответственности.</w:t>
      </w:r>
    </w:p>
    <w:p w14:paraId="5B010000">
      <w:pPr>
        <w:widowControl w:val="1"/>
        <w:spacing w:after="0" w:line="240" w:lineRule="auto"/>
        <w:ind w:firstLine="709"/>
        <w:jc w:val="both"/>
        <w:rPr>
          <w:rFonts w:ascii="Times New Roman" w:hAnsi="Times New Roman"/>
          <w:sz w:val="26"/>
        </w:rPr>
      </w:pPr>
      <w:r>
        <w:rPr>
          <w:rFonts w:ascii="Times New Roman" w:hAnsi="Times New Roman"/>
          <w:sz w:val="26"/>
        </w:rPr>
        <w:t>Согласно постановлению Пленума Верховного Суда Российской Федерации от 27.04.2021 № 6 «О некоторых вопросах, возникающих в судебной практике при рассмотрении дел об административных правонарушениях, связанных с неуплатой средств на содержание детей или нетрудоспособных родителей», лицо, обязанное уплачивать алименты, подлежит привлечению к административной ответственности и в том случае, если установлен факт умышленной неполной уплаты им средств на содержание детей, то есть уплаты алиментов в размере меньшем, чем это предусмотрено судебным актом или соглашением об уплате алиментов, поскольку данное обстоятельство является их нарушением.</w:t>
      </w:r>
    </w:p>
    <w:p w14:paraId="5C010000">
      <w:pPr>
        <w:widowControl w:val="1"/>
        <w:spacing w:after="0" w:line="240" w:lineRule="auto"/>
        <w:ind w:firstLine="709"/>
        <w:jc w:val="both"/>
        <w:rPr>
          <w:rFonts w:ascii="Times New Roman" w:hAnsi="Times New Roman"/>
          <w:sz w:val="26"/>
        </w:rPr>
      </w:pPr>
      <w:r>
        <w:rPr>
          <w:rFonts w:ascii="Times New Roman" w:hAnsi="Times New Roman"/>
          <w:sz w:val="26"/>
        </w:rPr>
        <w:t>Родитель, который уплачивал алименты в неполном размере, может быть освобожден от административной и уголовной ответственности в случае, если отсутствовал умысел либо имелись уважительные причины для неуплаты алиментов.</w:t>
      </w:r>
    </w:p>
    <w:p w14:paraId="5D010000">
      <w:pPr>
        <w:widowControl w:val="1"/>
        <w:spacing w:after="0" w:line="240" w:lineRule="auto"/>
        <w:ind w:firstLine="709"/>
        <w:jc w:val="both"/>
        <w:rPr>
          <w:rFonts w:ascii="Times New Roman" w:hAnsi="Times New Roman"/>
          <w:sz w:val="26"/>
        </w:rPr>
      </w:pPr>
      <w:r>
        <w:rPr>
          <w:rFonts w:ascii="Times New Roman" w:hAnsi="Times New Roman"/>
          <w:sz w:val="26"/>
        </w:rPr>
        <w:t>Статьей 5.35.1 КоАП РФ установлена ответственность в виде обязательных работ, административного ареста или административного штрафа.</w:t>
      </w:r>
    </w:p>
    <w:p w14:paraId="5E010000">
      <w:pPr>
        <w:widowControl w:val="1"/>
        <w:spacing w:after="0" w:line="240" w:lineRule="auto"/>
        <w:ind w:firstLine="709"/>
        <w:jc w:val="both"/>
        <w:rPr>
          <w:rFonts w:ascii="Times New Roman" w:hAnsi="Times New Roman"/>
          <w:sz w:val="26"/>
        </w:rPr>
      </w:pPr>
      <w:r>
        <w:rPr>
          <w:rFonts w:ascii="Times New Roman" w:hAnsi="Times New Roman"/>
          <w:sz w:val="26"/>
        </w:rPr>
        <w:t>За совершение преступления, предусмотренного ст. 157 УК РФ, уголовным законом установлено наказание в виде исправительных работ, принудительных работ, ареста или лишения свободы до 1 года.</w:t>
      </w:r>
    </w:p>
    <w:p w14:paraId="5F010000">
      <w:pPr>
        <w:widowControl w:val="1"/>
        <w:spacing w:after="0" w:line="240" w:lineRule="auto"/>
        <w:ind w:firstLine="709"/>
        <w:jc w:val="both"/>
        <w:rPr>
          <w:rFonts w:ascii="Times New Roman" w:hAnsi="Times New Roman"/>
          <w:sz w:val="26"/>
        </w:rPr>
      </w:pPr>
      <w:r>
        <w:rPr>
          <w:rFonts w:ascii="Times New Roman" w:hAnsi="Times New Roman"/>
          <w:sz w:val="26"/>
        </w:rPr>
        <w:t>Важно отметить, что уголовная ответственность по ст. 157 УК РФ наступает только в тех случаях, когда лицо имело реальную возможность выплачивать алименты, но умышленно уклонялось от исполнения возложенной на него обязанности, в том числе производило платежи в размере менее установленного судебным актом или нотариально удостоверенным соглашением, например, нерегулярные или незначительные платежи.</w:t>
      </w:r>
    </w:p>
    <w:p w14:paraId="60010000">
      <w:pPr>
        <w:widowControl w:val="1"/>
        <w:spacing w:after="0" w:line="240" w:lineRule="auto"/>
        <w:ind w:firstLine="709"/>
        <w:jc w:val="both"/>
        <w:rPr>
          <w:rFonts w:ascii="Times New Roman" w:hAnsi="Times New Roman"/>
          <w:sz w:val="28"/>
        </w:rPr>
      </w:pPr>
    </w:p>
    <w:p w14:paraId="61010000">
      <w:pPr>
        <w:widowControl w:val="1"/>
        <w:spacing w:after="0" w:line="240" w:lineRule="auto"/>
        <w:ind w:firstLine="709"/>
        <w:jc w:val="both"/>
        <w:rPr>
          <w:rFonts w:ascii="Times New Roman" w:hAnsi="Times New Roman"/>
          <w:sz w:val="28"/>
        </w:rPr>
      </w:pPr>
    </w:p>
    <w:p w14:paraId="62010000">
      <w:pPr>
        <w:widowControl w:val="1"/>
        <w:spacing w:after="0" w:line="240" w:lineRule="auto"/>
        <w:ind w:firstLine="709"/>
        <w:jc w:val="both"/>
        <w:rPr>
          <w:rFonts w:ascii="Times New Roman" w:hAnsi="Times New Roman"/>
          <w:sz w:val="28"/>
        </w:rPr>
      </w:pPr>
      <w:bookmarkStart w:id="1" w:name="_GoBack"/>
      <w:bookmarkEnd w:id="1"/>
    </w:p>
    <w:p w14:paraId="63010000">
      <w:pPr>
        <w:widowControl w:val="1"/>
        <w:spacing w:after="0" w:line="240" w:lineRule="auto"/>
        <w:ind w:firstLine="709"/>
        <w:jc w:val="both"/>
        <w:rPr>
          <w:rFonts w:ascii="Times New Roman" w:hAnsi="Times New Roman"/>
          <w:sz w:val="28"/>
        </w:rPr>
      </w:pPr>
    </w:p>
    <w:p w14:paraId="64010000">
      <w:pPr>
        <w:widowControl w:val="1"/>
        <w:spacing w:after="0" w:line="240" w:lineRule="auto"/>
        <w:ind w:firstLine="709"/>
        <w:jc w:val="both"/>
        <w:rPr>
          <w:rFonts w:ascii="Times New Roman" w:hAnsi="Times New Roman"/>
          <w:sz w:val="28"/>
        </w:rPr>
      </w:pP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1">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2">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3">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4">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5">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6">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7">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8">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9">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10">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11">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12">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13">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14">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15">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widowControl w:val="1"/>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widowControl w:val="1"/>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widowControl w:val="1"/>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widowControl w:val="1"/>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widowControl w:val="1"/>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widowControl w:val="1"/>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Default Paragraph Font"/>
    <w:link w:val="Style_8_ch"/>
  </w:style>
  <w:style w:styleId="Style_8_ch" w:type="character">
    <w:name w:val="Default Paragraph Font"/>
    <w:link w:val="Style_8"/>
  </w:style>
  <w:style w:styleId="Style_9" w:type="paragraph">
    <w:name w:val="toc 3"/>
    <w:next w:val="Style_1"/>
    <w:link w:val="Style_9_ch"/>
    <w:uiPriority w:val="39"/>
    <w:pPr>
      <w:widowControl w:val="1"/>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heading 5"/>
    <w:next w:val="Style_1"/>
    <w:link w:val="Style_10_ch"/>
    <w:uiPriority w:val="9"/>
    <w:qFormat/>
    <w:pPr>
      <w:widowControl w:val="1"/>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1"/>
    <w:link w:val="Style_11_ch"/>
    <w:uiPriority w:val="9"/>
    <w:qFormat/>
    <w:pPr>
      <w:widowControl w:val="1"/>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widowControl w:val="1"/>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1"/>
    <w:link w:val="Style_14_ch"/>
    <w:uiPriority w:val="39"/>
    <w:pPr>
      <w:widowControl w:val="1"/>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5" w:type="paragraph">
    <w:name w:val="Header and Footer"/>
    <w:link w:val="Style_15_ch"/>
    <w:pPr>
      <w:widowControl w:val="1"/>
      <w:spacing w:line="240" w:lineRule="auto"/>
      <w:ind/>
      <w:jc w:val="both"/>
    </w:pPr>
    <w:rPr>
      <w:rFonts w:ascii="XO Thames" w:hAnsi="XO Thames"/>
      <w:sz w:val="28"/>
    </w:rPr>
  </w:style>
  <w:style w:styleId="Style_15_ch" w:type="character">
    <w:name w:val="Header and Footer"/>
    <w:link w:val="Style_15"/>
    <w:rPr>
      <w:rFonts w:ascii="XO Thames" w:hAnsi="XO Thames"/>
      <w:sz w:val="28"/>
    </w:rPr>
  </w:style>
  <w:style w:styleId="Style_16" w:type="paragraph">
    <w:name w:val="toc 9"/>
    <w:next w:val="Style_1"/>
    <w:link w:val="Style_16_ch"/>
    <w:uiPriority w:val="39"/>
    <w:pPr>
      <w:widowControl w:val="1"/>
      <w:ind w:firstLine="0" w:left="1600"/>
      <w:jc w:val="left"/>
    </w:pPr>
    <w:rPr>
      <w:rFonts w:ascii="XO Thames" w:hAnsi="XO Thames"/>
      <w:sz w:val="28"/>
    </w:rPr>
  </w:style>
  <w:style w:styleId="Style_16_ch" w:type="character">
    <w:name w:val="toc 9"/>
    <w:link w:val="Style_16"/>
    <w:rPr>
      <w:rFonts w:ascii="XO Thames" w:hAnsi="XO Thames"/>
      <w:sz w:val="28"/>
    </w:rPr>
  </w:style>
  <w:style w:styleId="Style_17" w:type="paragraph">
    <w:name w:val="toc 8"/>
    <w:next w:val="Style_1"/>
    <w:link w:val="Style_17_ch"/>
    <w:uiPriority w:val="39"/>
    <w:pPr>
      <w:widowControl w:val="1"/>
      <w:ind w:firstLine="0" w:left="1400"/>
      <w:jc w:val="left"/>
    </w:pPr>
    <w:rPr>
      <w:rFonts w:ascii="XO Thames" w:hAnsi="XO Thames"/>
      <w:sz w:val="28"/>
    </w:rPr>
  </w:style>
  <w:style w:styleId="Style_17_ch" w:type="character">
    <w:name w:val="toc 8"/>
    <w:link w:val="Style_17"/>
    <w:rPr>
      <w:rFonts w:ascii="XO Thames" w:hAnsi="XO Thames"/>
      <w:sz w:val="28"/>
    </w:rPr>
  </w:style>
  <w:style w:styleId="Style_18" w:type="paragraph">
    <w:name w:val="toc 5"/>
    <w:next w:val="Style_1"/>
    <w:link w:val="Style_18_ch"/>
    <w:uiPriority w:val="39"/>
    <w:pPr>
      <w:widowControl w:val="1"/>
      <w:ind w:firstLine="0" w:left="800"/>
      <w:jc w:val="left"/>
    </w:pPr>
    <w:rPr>
      <w:rFonts w:ascii="XO Thames" w:hAnsi="XO Thames"/>
      <w:sz w:val="28"/>
    </w:rPr>
  </w:style>
  <w:style w:styleId="Style_18_ch" w:type="character">
    <w:name w:val="toc 5"/>
    <w:link w:val="Style_18"/>
    <w:rPr>
      <w:rFonts w:ascii="XO Thames" w:hAnsi="XO Thames"/>
      <w:sz w:val="28"/>
    </w:rPr>
  </w:style>
  <w:style w:styleId="Style_19" w:type="paragraph">
    <w:name w:val="Subtitle"/>
    <w:next w:val="Style_1"/>
    <w:link w:val="Style_19_ch"/>
    <w:uiPriority w:val="11"/>
    <w:qFormat/>
    <w:pPr>
      <w:widowControl w:val="1"/>
      <w:ind/>
      <w:jc w:val="both"/>
    </w:pPr>
    <w:rPr>
      <w:rFonts w:ascii="XO Thames" w:hAnsi="XO Thames"/>
      <w:i w:val="1"/>
      <w:sz w:val="24"/>
    </w:rPr>
  </w:style>
  <w:style w:styleId="Style_19_ch" w:type="character">
    <w:name w:val="Subtitle"/>
    <w:link w:val="Style_19"/>
    <w:rPr>
      <w:rFonts w:ascii="XO Thames" w:hAnsi="XO Thames"/>
      <w:i w:val="1"/>
      <w:sz w:val="24"/>
    </w:rPr>
  </w:style>
  <w:style w:styleId="Style_20" w:type="paragraph">
    <w:name w:val="Title"/>
    <w:next w:val="Style_1"/>
    <w:link w:val="Style_20_ch"/>
    <w:uiPriority w:val="10"/>
    <w:qFormat/>
    <w:pPr>
      <w:widowControl w:val="1"/>
      <w:spacing w:after="567" w:before="567"/>
      <w:ind/>
      <w:jc w:val="center"/>
    </w:pPr>
    <w:rPr>
      <w:rFonts w:ascii="XO Thames" w:hAnsi="XO Thames"/>
      <w:b w:val="1"/>
      <w:caps w:val="1"/>
      <w:sz w:val="40"/>
    </w:rPr>
  </w:style>
  <w:style w:styleId="Style_20_ch" w:type="character">
    <w:name w:val="Title"/>
    <w:link w:val="Style_20"/>
    <w:rPr>
      <w:rFonts w:ascii="XO Thames" w:hAnsi="XO Thames"/>
      <w:b w:val="1"/>
      <w:caps w:val="1"/>
      <w:sz w:val="40"/>
    </w:rPr>
  </w:style>
  <w:style w:styleId="Style_21" w:type="paragraph">
    <w:name w:val="heading 4"/>
    <w:next w:val="Style_1"/>
    <w:link w:val="Style_21_ch"/>
    <w:uiPriority w:val="9"/>
    <w:qFormat/>
    <w:pPr>
      <w:widowControl w:val="1"/>
      <w:spacing w:after="120" w:before="120"/>
      <w:ind/>
      <w:jc w:val="both"/>
      <w:outlineLvl w:val="3"/>
    </w:pPr>
    <w:rPr>
      <w:rFonts w:ascii="XO Thames" w:hAnsi="XO Thames"/>
      <w:b w:val="1"/>
      <w:sz w:val="24"/>
    </w:rPr>
  </w:style>
  <w:style w:styleId="Style_21_ch" w:type="character">
    <w:name w:val="heading 4"/>
    <w:link w:val="Style_21"/>
    <w:rPr>
      <w:rFonts w:ascii="XO Thames" w:hAnsi="XO Thames"/>
      <w:b w:val="1"/>
      <w:sz w:val="24"/>
    </w:rPr>
  </w:style>
  <w:style w:styleId="Style_22" w:type="paragraph">
    <w:name w:val="heading 2"/>
    <w:next w:val="Style_1"/>
    <w:link w:val="Style_22_ch"/>
    <w:uiPriority w:val="9"/>
    <w:qFormat/>
    <w:pPr>
      <w:widowControl w:val="1"/>
      <w:spacing w:after="120" w:before="120"/>
      <w:ind/>
      <w:jc w:val="both"/>
      <w:outlineLvl w:val="1"/>
    </w:pPr>
    <w:rPr>
      <w:rFonts w:ascii="XO Thames" w:hAnsi="XO Thames"/>
      <w:b w:val="1"/>
      <w:sz w:val="28"/>
    </w:rPr>
  </w:style>
  <w:style w:styleId="Style_22_ch" w:type="character">
    <w:name w:val="heading 2"/>
    <w:link w:val="Style_22"/>
    <w:rPr>
      <w:rFonts w:ascii="XO Thames" w:hAnsi="XO Thames"/>
      <w:b w:val="1"/>
      <w:sz w:val="28"/>
    </w:rPr>
  </w:style>
  <w:style w:default="1" w:styleId="Style_2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2026-06-25T04:22:00Z</dcterms:created>
  <dcterms:modified xsi:type="dcterms:W3CDTF">2026-06-25T05:59:58Z</dcterms:modified>
</cp:coreProperties>
</file>