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after="0"/>
        <w:rPr>
          <w:rFonts w:ascii="PT Astra Serif" w:hAnsi="PT Astra Serif" w:cs="PT Astra Serif"/>
          <w:color w:val="000000" w:themeColor="text1"/>
          <w:sz w:val="26"/>
          <w:szCs w:val="26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95525" cy="838200"/>
                <wp:effectExtent l="0" t="0" r="9525" b="0"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6275948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295524" cy="8381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80.75pt;height:66.0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PT Astra Serif" w:hAnsi="PT Astra Serif" w:cs="PT Astra Serif"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</w:rPr>
      </w:r>
    </w:p>
    <w:p>
      <w:pPr>
        <w:jc w:val="both"/>
        <w:spacing w:after="0"/>
        <w:rPr>
          <w:rFonts w:ascii="PT Astra Serif" w:hAnsi="PT Astra Serif" w:cs="PT Astra Serif"/>
          <w:b/>
          <w:color w:val="000000" w:themeColor="text1"/>
          <w:sz w:val="26"/>
          <w:szCs w:val="26"/>
        </w:rPr>
      </w:pPr>
      <w:r>
        <w:rPr>
          <w:rFonts w:ascii="PT Astra Serif" w:hAnsi="PT Astra Serif" w:eastAsia="PT Astra Serif" w:cs="PT Astra Serif"/>
          <w:b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b/>
          <w:color w:val="000000" w:themeColor="text1"/>
          <w:sz w:val="26"/>
          <w:szCs w:val="26"/>
        </w:rPr>
      </w:r>
      <w:r>
        <w:rPr>
          <w:rFonts w:ascii="PT Astra Serif" w:hAnsi="PT Astra Serif" w:cs="PT Astra Serif"/>
          <w:b/>
          <w:color w:val="000000" w:themeColor="text1"/>
          <w:sz w:val="26"/>
          <w:szCs w:val="26"/>
        </w:rPr>
      </w:r>
    </w:p>
    <w:p>
      <w:pPr>
        <w:contextualSpacing w:val="0"/>
        <w:jc w:val="center"/>
        <w:spacing w:before="0" w:after="0" w:line="276" w:lineRule="auto"/>
        <w:rPr>
          <w:rFonts w:ascii="Tinos" w:hAnsi="Tinos" w:cs="Tinos"/>
          <w:b/>
          <w:bCs/>
          <w:color w:val="000000" w:themeColor="text1"/>
          <w:sz w:val="26"/>
          <w:szCs w:val="26"/>
        </w:rPr>
        <w:outlineLvl w:val="1"/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lang w:eastAsia="ru-RU"/>
        </w:rPr>
        <w:t xml:space="preserve">Росреестр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lang w:eastAsia="ru-RU"/>
        </w:rPr>
        <w:t xml:space="preserve"> Хакасии разъясняет: про комнату в коммуналке, квартиру в долевое и документах для регистрации права собственности</w:t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</w:r>
      <w:r>
        <w:rPr>
          <w:rFonts w:ascii="Tinos" w:hAnsi="Tinos" w:cs="Tinos"/>
          <w:b/>
          <w:bCs/>
          <w:color w:val="000000" w:themeColor="text1"/>
          <w:sz w:val="26"/>
          <w:szCs w:val="26"/>
        </w:rPr>
      </w:r>
    </w:p>
    <w:p>
      <w:pPr>
        <w:contextualSpacing w:val="0"/>
        <w:jc w:val="both"/>
        <w:spacing w:before="0" w:after="0" w:line="276" w:lineRule="auto"/>
        <w:rPr>
          <w:rFonts w:ascii="Tinos" w:hAnsi="Tinos" w:cs="Tinos"/>
          <w:color w:val="000000" w:themeColor="text1"/>
          <w:sz w:val="26"/>
          <w:szCs w:val="26"/>
          <w:shd w:val="clear" w:color="auto" w:fill="ffffff"/>
        </w:rP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shd w:val="clear" w:color="auto" w:fill="ffffff"/>
        </w:rPr>
      </w:r>
      <w:r>
        <w:rPr>
          <w:rFonts w:ascii="Tinos" w:hAnsi="Tinos" w:cs="Tinos"/>
          <w:color w:val="000000" w:themeColor="text1"/>
          <w:sz w:val="26"/>
          <w:szCs w:val="26"/>
          <w:shd w:val="clear" w:color="auto" w:fill="ffffff"/>
        </w:rPr>
      </w:r>
      <w:r>
        <w:rPr>
          <w:rFonts w:ascii="Tinos" w:hAnsi="Tinos" w:cs="Tinos"/>
          <w:color w:val="000000" w:themeColor="text1"/>
          <w:sz w:val="26"/>
          <w:szCs w:val="26"/>
          <w:shd w:val="clear" w:color="auto" w:fill="ffffff"/>
        </w:rPr>
      </w:r>
    </w:p>
    <w:p>
      <w:pPr>
        <w:contextualSpacing w:val="0"/>
        <w:ind w:left="0" w:firstLine="0"/>
        <w:jc w:val="both"/>
        <w:spacing w:before="0" w:line="276" w:lineRule="auto"/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Вопрос: Я проживаю в коммунальной квартире. По со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глашению с соседями мы зарегистрировали право собственности каждый на свою комнату (ранее были зарегистрированы доли в праве на квартиру). Мы бы хотели поделить еще и коридор. Как это сделать?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</w:r>
    </w:p>
    <w:p>
      <w:pPr>
        <w:pStyle w:val="838"/>
        <w:contextualSpacing w:val="0"/>
        <w:ind w:firstLine="0"/>
        <w:jc w:val="both"/>
        <w:spacing w:before="0" w:line="276" w:lineRule="auto"/>
        <w:shd w:val="clear" w:color="auto" w:fill="ffffff"/>
        <w:rPr>
          <w:rFonts w:ascii="Tinos" w:hAnsi="Tinos" w:cs="Tinos"/>
          <w:color w:val="000000" w:themeColor="text1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  <w:t xml:space="preserve">Ответ: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Коридоры относятся к местам общего пользования. Р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ежи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м пользования общим имуществом в коммунальной квартире установлен статьями 41-43 Жилищного кодекса Российской Федерации (ЖК РФ).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В соответствии с данными нормами, д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оля в праве общей собственности на общее имущество в коммунальной квартире собственника комнаты в данной квартире пропорциональна размеру общей площади указанной комнаты.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Доля в праве общей собственности на общее имущество в коммунальной квартире собственника комнаты в данной квартире следует судьбе права собственности на указанную комнату.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Собственник комнаты в коммунальной квартире не вправе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 осуществлять выдел в натуре своей доли в праве общей собственности на общее имущество в данной квартире.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Изменение размера общего имущества в коммунальной квартире возможно только с согласия всех собственников комнат в данной квартире путем ее </w:t>
      </w:r>
      <w:hyperlink r:id="rId10" w:tooltip="https://login.consultant.ru/link/?req=doc&amp;base=LAW&amp;n=466787&amp;dst=100196" w:history="1">
        <w:r>
          <w:rPr>
            <w:rFonts w:ascii="Tinos" w:hAnsi="Tinos" w:eastAsia="Tinos" w:cs="Tinos"/>
            <w:color w:val="000000" w:themeColor="text1"/>
            <w:sz w:val="26"/>
            <w:szCs w:val="26"/>
            <w:highlight w:val="none"/>
          </w:rPr>
          <w:t xml:space="preserve">переустройства и (или) перепланировки</w:t>
        </w:r>
      </w:hyperlink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Tinos" w:hAnsi="Tinos" w:cs="Tinos"/>
          <w:color w:val="000000" w:themeColor="text1"/>
          <w:sz w:val="26"/>
          <w:szCs w:val="26"/>
          <w:highlight w:val="none"/>
          <w14:ligatures w14:val="none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  <w14:ligatures w14:val="none"/>
        </w:rPr>
      </w:r>
    </w:p>
    <w:p>
      <w:pPr>
        <w:pStyle w:val="838"/>
        <w:contextualSpacing w:val="0"/>
        <w:ind w:firstLine="851"/>
        <w:jc w:val="both"/>
        <w:spacing w:before="0" w:line="276" w:lineRule="auto"/>
        <w:shd w:val="clear" w:color="auto" w:fill="ffffff"/>
        <w:rPr>
          <w:rFonts w:ascii="Tinos" w:hAnsi="Tinos" w:cs="Tinos"/>
          <w:color w:val="000000" w:themeColor="text1"/>
          <w:sz w:val="26"/>
          <w:szCs w:val="26"/>
          <w:highlight w:val="none"/>
          <w14:ligatures w14:val="none"/>
        </w:rPr>
        <w:suppressLineNumbers w:val="0"/>
      </w:pP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  <w14:ligatures w14:val="none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  <w14:ligatures w14:val="none"/>
        </w:rPr>
      </w:r>
    </w:p>
    <w:p>
      <w:pPr>
        <w:contextualSpacing w:val="0"/>
        <w:jc w:val="both"/>
        <w:spacing w:before="0" w:line="276" w:lineRule="auto"/>
        <w:rPr>
          <w:rFonts w:ascii="Tinos" w:hAnsi="Tinos" w:cs="Tinos"/>
          <w:color w:val="000000" w:themeColor="text1"/>
          <w:sz w:val="26"/>
          <w:szCs w:val="26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shd w:val="clear" w:color="auto" w:fill="ffffff"/>
        </w:rPr>
        <w:t xml:space="preserve">Вопрос: Какие документы необходимо принести в МФЦ для регистрации права на квартиру? </w:t>
      </w:r>
      <w:r>
        <w:rPr>
          <w:rFonts w:ascii="Tinos" w:hAnsi="Tinos" w:eastAsia="Tinos" w:cs="Tinos"/>
          <w:color w:val="000000" w:themeColor="text1"/>
          <w:sz w:val="26"/>
          <w:szCs w:val="26"/>
          <w:shd w:val="clear" w:color="auto" w:fill="ffffff"/>
        </w:rPr>
        <w:t xml:space="preserve"> </w:t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contextualSpacing w:val="0"/>
        <w:jc w:val="both"/>
        <w:spacing w:before="0" w:line="276" w:lineRule="auto"/>
        <w:rPr>
          <w:rFonts w:ascii="Tinos" w:hAnsi="Tinos" w:cs="Tinos"/>
          <w:color w:val="000000" w:themeColor="text1"/>
          <w:sz w:val="26"/>
          <w:szCs w:val="26"/>
          <w:highlight w:val="none"/>
          <w:shd w:val="clear" w:color="auto" w:fill="ffffff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shd w:val="clear" w:color="auto" w:fill="ffffff"/>
        </w:rPr>
        <w:t xml:space="preserve">Ответ:</w:t>
      </w:r>
      <w:r>
        <w:rPr>
          <w:rFonts w:ascii="Tinos" w:hAnsi="Tinos" w:eastAsia="Tinos" w:cs="Tinos"/>
          <w:color w:val="000000" w:themeColor="text1"/>
          <w:sz w:val="26"/>
          <w:szCs w:val="26"/>
          <w:shd w:val="clear" w:color="auto" w:fill="ffffff"/>
        </w:rPr>
        <w:t xml:space="preserve"> Если Ваши права на квартиру возникли до 01.09.1999 и были  зарегистрированы в ГУП Р</w:t>
      </w:r>
      <w:r>
        <w:rPr>
          <w:rFonts w:ascii="Tinos" w:hAnsi="Tinos" w:eastAsia="Tinos" w:cs="Tinos"/>
          <w:color w:val="000000" w:themeColor="text1"/>
          <w:sz w:val="26"/>
          <w:szCs w:val="26"/>
          <w:shd w:val="clear" w:color="auto" w:fill="ffffff"/>
        </w:rPr>
        <w:t xml:space="preserve">Х «Управление технической инвентаризации», то для внесения сведений в ЕГРН о ранее зарегистрированных правах необходимо обратиться в МФЦ с заявлением и представить ранее правоподтверждающий документ, например, договор купли-продажи, договор мены, дарения. </w:t>
      </w:r>
      <w:r>
        <w:rPr>
          <w:rFonts w:ascii="Tinos" w:hAnsi="Tinos" w:eastAsia="Tinos" w:cs="Tinos"/>
          <w:color w:val="000000" w:themeColor="text1"/>
          <w:sz w:val="26"/>
          <w:szCs w:val="26"/>
          <w:shd w:val="clear" w:color="auto" w:fill="ffffff"/>
        </w:rPr>
        <w:t xml:space="preserve">В данном случае госпошлина не взимается. Если право собственности возникло после 01.09.1999 и зарегистрировано не было, нео</w:t>
      </w:r>
      <w:r>
        <w:rPr>
          <w:rFonts w:ascii="Tinos" w:hAnsi="Tinos" w:eastAsia="Tinos" w:cs="Tinos"/>
          <w:color w:val="000000" w:themeColor="text1"/>
          <w:sz w:val="26"/>
          <w:szCs w:val="26"/>
          <w:shd w:val="clear" w:color="auto" w:fill="ffffff"/>
        </w:rPr>
        <w:t xml:space="preserve">бходимо обратиться в МФЦ с заявлением и представить правоустана</w:t>
      </w:r>
      <w:r>
        <w:rPr>
          <w:rFonts w:ascii="Tinos" w:hAnsi="Tinos" w:eastAsia="Tinos" w:cs="Tinos"/>
          <w:color w:val="000000" w:themeColor="text1"/>
          <w:sz w:val="26"/>
          <w:szCs w:val="26"/>
          <w:shd w:val="clear" w:color="auto" w:fill="ffffff"/>
        </w:rPr>
        <w:t xml:space="preserve">вливающий документ, на основании которого возникло Ваше право на указанную квартиру, например, договор купли-продажи, дарения, свидетельство о праве на наследство, а также оплатить государственную пошлину за государственную регистрацию права собственности.</w:t>
      </w:r>
      <w:r>
        <w:rPr>
          <w:rFonts w:ascii="Tinos" w:hAnsi="Tinos" w:cs="Tinos"/>
          <w:color w:val="000000" w:themeColor="text1"/>
          <w:sz w:val="26"/>
          <w:szCs w:val="26"/>
          <w:highlight w:val="none"/>
          <w:shd w:val="clear" w:color="auto" w:fill="ffffff"/>
        </w:rPr>
      </w:r>
      <w:r>
        <w:rPr>
          <w:rFonts w:ascii="Tinos" w:hAnsi="Tinos" w:cs="Tinos"/>
          <w:color w:val="000000" w:themeColor="text1"/>
          <w:sz w:val="26"/>
          <w:szCs w:val="26"/>
          <w:highlight w:val="none"/>
          <w:shd w:val="clear" w:color="auto" w:fill="ffffff"/>
        </w:rPr>
      </w:r>
    </w:p>
    <w:p>
      <w:pPr>
        <w:contextualSpacing w:val="0"/>
        <w:ind w:left="0" w:right="0" w:firstLine="0"/>
        <w:jc w:val="both"/>
        <w:spacing w:before="0" w:line="276" w:lineRule="auto"/>
        <w:shd w:val="clear" w:color="ffffff" w:fill="ffffff"/>
        <w:rPr>
          <w:rFonts w:ascii="Tinos" w:hAnsi="Tinos" w:cs="Tinos"/>
          <w:b/>
          <w:bCs/>
          <w:color w:val="000000" w:themeColor="text1"/>
          <w:sz w:val="26"/>
          <w:szCs w:val="26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  <w:t xml:space="preserve">Вопрос: Почему в личном кабинете на Госуслугах нет информации о купленной мною квартире по договору участия в долевом строительстве?</w:t>
      </w:r>
      <w:r>
        <w:rPr>
          <w:rFonts w:ascii="Tinos" w:hAnsi="Tinos" w:cs="Tinos"/>
          <w:b/>
          <w:bCs/>
          <w:color w:val="000000" w:themeColor="text1"/>
          <w:sz w:val="26"/>
          <w:szCs w:val="26"/>
          <w:highlight w:val="white"/>
        </w:rPr>
      </w:r>
      <w:r>
        <w:rPr>
          <w:rFonts w:ascii="Tinos" w:hAnsi="Tinos" w:cs="Tinos"/>
          <w:b/>
          <w:bCs/>
          <w:color w:val="000000" w:themeColor="text1"/>
          <w:sz w:val="26"/>
          <w:szCs w:val="26"/>
          <w:highlight w:val="white"/>
        </w:rPr>
      </w:r>
    </w:p>
    <w:p>
      <w:pPr>
        <w:contextualSpacing w:val="0"/>
        <w:ind w:left="0" w:right="0" w:firstLine="0"/>
        <w:jc w:val="both"/>
        <w:spacing w:before="0" w:line="276" w:lineRule="auto"/>
        <w:shd w:val="clear" w:color="ffffff" w:fill="ffffff"/>
        <w:rPr>
          <w:rFonts w:ascii="Tinos" w:hAnsi="Tinos" w:cs="Tinos"/>
          <w:color w:val="000000" w:themeColor="text1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highlight w:val="none"/>
        </w:rPr>
        <w:t xml:space="preserve">Ответ: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Сведения об объекте недвижимости в личном кабинете на портале Госуслуг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  доступны только по  тем объектам, права на которые зарегистрированы.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Информация о зарегистрированных правах в ЕГРН  будет доступна на ЕПГУ после окончания строительства многоквартирного дома и после осуществления  государственного кадастро</w:t>
      </w:r>
      <w:r>
        <w:rPr>
          <w:rFonts w:ascii="Tinos" w:hAnsi="Tinos" w:eastAsia="Tinos" w:cs="Tinos"/>
          <w:color w:val="000000" w:themeColor="text1"/>
          <w:sz w:val="26"/>
          <w:szCs w:val="26"/>
          <w:highlight w:val="white"/>
        </w:rPr>
        <w:t xml:space="preserve">вого учета и регистрации права собственности на купленную квартиру.</w:t>
      </w:r>
      <w:r>
        <w:rPr>
          <w:rFonts w:ascii="Tinos" w:hAnsi="Tinos" w:cs="Tinos"/>
          <w:color w:val="000000" w:themeColor="text1"/>
          <w:sz w:val="26"/>
          <w:szCs w:val="26"/>
        </w:rPr>
      </w:r>
      <w:r>
        <w:rPr>
          <w:rFonts w:ascii="Tinos" w:hAnsi="Tinos" w:cs="Tinos"/>
          <w:color w:val="000000" w:themeColor="text1"/>
          <w:sz w:val="26"/>
          <w:szCs w:val="26"/>
        </w:rPr>
      </w:r>
    </w:p>
    <w:p>
      <w:pPr>
        <w:contextualSpacing w:val="0"/>
        <w:ind w:firstLine="0"/>
        <w:jc w:val="both"/>
        <w:spacing w:before="0" w:line="276" w:lineRule="auto"/>
        <w:rPr>
          <w:rFonts w:ascii="Tinos" w:hAnsi="Tinos" w:cs="Tinos"/>
          <w:color w:val="000000" w:themeColor="text1"/>
          <w:sz w:val="28"/>
          <w:szCs w:val="28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u w:val="none"/>
        </w:rPr>
        <w:t xml:space="preserve">Вопрос: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u w:val="none"/>
        </w:rPr>
        <w:t xml:space="preserve">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Можно ли при возврате излишне уплаченной гос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ударственной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пошлины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в заявлении </w:t>
      </w:r>
      <w:bookmarkStart w:id="0" w:name="undefined"/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</w:r>
      <w:bookmarkEnd w:id="0"/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указать банковские реквизиты (номер счета) 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другого</w:t>
      </w:r>
      <w:r>
        <w:rPr>
          <w:rFonts w:ascii="Tinos" w:hAnsi="Tinos" w:eastAsia="Tinos" w:cs="Tinos"/>
          <w:b/>
          <w:bCs/>
          <w:color w:val="000000" w:themeColor="text1"/>
          <w:sz w:val="26"/>
          <w:szCs w:val="26"/>
        </w:rPr>
        <w:t xml:space="preserve"> лица, например, супруга (супруги)?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contextualSpacing w:val="0"/>
        <w:ind w:firstLine="0"/>
        <w:jc w:val="both"/>
        <w:spacing w:before="0" w:line="276" w:lineRule="auto"/>
        <w:rPr>
          <w:rFonts w:ascii="Tinos" w:hAnsi="Tinos" w:cs="Tinos"/>
          <w:color w:val="000000" w:themeColor="text1"/>
          <w:sz w:val="28"/>
          <w:szCs w:val="28"/>
        </w:rPr>
        <w:suppressLineNumbers w:val="0"/>
      </w:pPr>
      <w:r>
        <w:rPr>
          <w:rFonts w:ascii="Tinos" w:hAnsi="Tinos" w:eastAsia="Tinos" w:cs="Tinos"/>
          <w:b/>
          <w:bCs/>
          <w:color w:val="000000" w:themeColor="text1"/>
          <w:sz w:val="26"/>
          <w:szCs w:val="26"/>
          <w:u w:val="none"/>
          <w:lang w:eastAsia="en-US"/>
        </w:rPr>
        <w:t xml:space="preserve">Ответ:</w:t>
      </w:r>
      <w:r>
        <w:rPr>
          <w:rFonts w:ascii="Tinos" w:hAnsi="Tinos" w:eastAsia="Tinos" w:cs="Tinos"/>
          <w:color w:val="000000" w:themeColor="text1"/>
          <w:sz w:val="26"/>
          <w:szCs w:val="26"/>
          <w:u w:val="none"/>
          <w:lang w:eastAsia="en-US"/>
        </w:rPr>
        <w:t xml:space="preserve"> </w:t>
      </w:r>
      <w:r>
        <w:rPr>
          <w:rFonts w:ascii="Tinos" w:hAnsi="Tinos" w:eastAsia="Tinos" w:cs="Tinos"/>
          <w:color w:val="000000" w:themeColor="text1"/>
          <w:sz w:val="26"/>
          <w:szCs w:val="26"/>
          <w:lang w:eastAsia="en-US"/>
        </w:rPr>
        <w:t xml:space="preserve">Нет.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Согласно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ст. 333.40 Налогового кодекса возврат излишне уплаченной суммы государ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ственной пошлины осуществляется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плательщику государственной пошлины. Возврат осуществляется на расчетный счет плательщика.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Для этого необходимо предоставить в Росреестр Хакасии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заявление о возврате излишне уплаченной государственной пошлины с указанием актуальной информации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о расчетном счете, открытом на имя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плательщика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 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в кредитной организации</w:t>
      </w:r>
      <w:r>
        <w:rPr>
          <w:rFonts w:ascii="Tinos" w:hAnsi="Tinos" w:eastAsia="Tinos" w:cs="Tinos"/>
          <w:color w:val="000000" w:themeColor="text1"/>
          <w:sz w:val="26"/>
          <w:szCs w:val="26"/>
        </w:rPr>
        <w:t xml:space="preserve">.</w:t>
      </w:r>
      <w:r>
        <w:rPr>
          <w:rFonts w:ascii="Tinos" w:hAnsi="Tinos" w:cs="Tinos"/>
          <w:color w:val="000000" w:themeColor="text1"/>
          <w:sz w:val="28"/>
          <w:szCs w:val="28"/>
        </w:rPr>
      </w:r>
      <w:r>
        <w:rPr>
          <w:rFonts w:ascii="Tinos" w:hAnsi="Tinos" w:cs="Tinos"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hd w:val="clear" w:color="ffffff" w:fill="ffffff"/>
        <w:rPr>
          <w:rFonts w:ascii="Tinos" w:hAnsi="Tinos" w:cs="Tinos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color w:val="000000" w:themeColor="text1"/>
          <w:sz w:val="24"/>
          <w:szCs w:val="24"/>
          <w:highlight w:val="none"/>
        </w:rPr>
      </w:r>
    </w:p>
    <w:p>
      <w:pPr>
        <w:ind w:left="0" w:right="0" w:firstLine="0"/>
        <w:jc w:val="both"/>
        <w:shd w:val="clear" w:color="ffffff" w:fill="ffffff"/>
        <w:rPr>
          <w:rFonts w:ascii="Tinos" w:hAnsi="Tinos" w:cs="Tinos"/>
          <w:color w:val="000000" w:themeColor="text1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4"/>
          <w:szCs w:val="24"/>
          <w:highlight w:val="none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</w:p>
    <w:p>
      <w:pPr>
        <w:jc w:val="both"/>
        <w:rPr>
          <w:rFonts w:ascii="Tinos" w:hAnsi="Tinos" w:cs="Tinos"/>
          <w:color w:val="000000" w:themeColor="text1"/>
          <w:sz w:val="24"/>
          <w:szCs w:val="24"/>
        </w:rPr>
      </w:pPr>
      <w:r>
        <w:rPr>
          <w:rFonts w:ascii="Tinos" w:hAnsi="Tinos" w:eastAsia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  <w:r>
        <w:rPr>
          <w:rFonts w:ascii="Tinos" w:hAnsi="Tinos" w:cs="Tinos"/>
          <w:color w:val="000000" w:themeColor="text1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2"/>
    <w:next w:val="832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2"/>
    <w:next w:val="832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2"/>
    <w:next w:val="832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basedOn w:val="832"/>
    <w:uiPriority w:val="1"/>
    <w:qFormat/>
    <w:pPr>
      <w:spacing w:after="0" w:line="240" w:lineRule="auto"/>
    </w:pPr>
  </w:style>
  <w:style w:type="paragraph" w:styleId="836">
    <w:name w:val="List Paragraph"/>
    <w:basedOn w:val="832"/>
    <w:uiPriority w:val="34"/>
    <w:qFormat/>
    <w:pPr>
      <w:contextualSpacing/>
      <w:ind w:left="720"/>
    </w:pPr>
  </w:style>
  <w:style w:type="character" w:styleId="837" w:default="1">
    <w:name w:val="Default Paragraph Font"/>
    <w:uiPriority w:val="1"/>
    <w:semiHidden/>
    <w:unhideWhenUsed/>
  </w:style>
  <w:style w:type="paragraph" w:styleId="838" w:customStyle="1">
    <w:name w:val="s_13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1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39" w:customStyle="1">
    <w:name w:val="Normal (Web)"/>
    <w:basedOn w:val="831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login.consultant.ru/link/?req=doc&amp;base=LAW&amp;n=466787&amp;dst=10019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2025-01-23T03:07:56Z</dcterms:modified>
</cp:coreProperties>
</file>