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keepNext/>
        <w:spacing w:before="0" w:after="0" w:line="283" w:lineRule="atLeast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5500" cy="7715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55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0pt;height:60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ind w:firstLine="709"/>
        <w:jc w:val="both"/>
        <w:keepNext/>
        <w:spacing w:before="0" w:after="0" w:line="283" w:lineRule="atLeast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lang w:eastAsia="sk-SK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firstLine="709"/>
        <w:jc w:val="right"/>
        <w:keepNext/>
        <w:spacing w:before="0" w:after="0" w:line="283" w:lineRule="atLeast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Вопрос-ответ</w: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center"/>
        <w:spacing w:before="0" w:after="0" w:line="1008" w:lineRule="atLeast"/>
        <w:rPr>
          <w:rFonts w:ascii="Tinos" w:hAnsi="Tinos" w:eastAsia="Tinos" w:cs="Tinos"/>
          <w:b/>
          <w:bCs/>
          <w:color w:val="3d4146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6"/>
          <w:szCs w:val="26"/>
        </w:rPr>
        <w:t xml:space="preserve">Что делать в случае самовольного занятия участка соседом</w:t>
      </w:r>
      <w:r>
        <w:rPr>
          <w:rFonts w:ascii="Tinos" w:hAnsi="Tinos" w:eastAsia="Tinos" w:cs="Tinos"/>
          <w:color w:val="68981a"/>
          <w:sz w:val="26"/>
          <w:szCs w:val="26"/>
        </w:rPr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  <w:r>
        <w:rPr>
          <w:rFonts w:ascii="Tinos" w:hAnsi="Tinos" w:eastAsia="Tinos" w:cs="Tinos"/>
          <w:b/>
          <w:color w:val="3d4146"/>
          <w:sz w:val="26"/>
          <w:szCs w:val="26"/>
          <w:highlight w:val="none"/>
        </w:rPr>
      </w:r>
      <w:r>
        <w:rPr>
          <w:rFonts w:ascii="Tinos" w:hAnsi="Tinos" w:eastAsia="Tinos" w:cs="Tinos"/>
          <w:b/>
          <w:color w:val="3d4146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26"/>
          <w:szCs w:val="26"/>
          <w:highlight w:val="none"/>
        </w:rPr>
      </w:r>
      <w:r>
        <w:rPr>
          <w:rFonts w:ascii="Tinos" w:hAnsi="Tinos" w:eastAsia="Tinos" w:cs="Tinos"/>
          <w:b/>
          <w:color w:val="3d4146"/>
          <w:sz w:val="26"/>
          <w:szCs w:val="26"/>
          <w:highlight w:val="none"/>
        </w:rPr>
      </w:r>
      <w:r>
        <w:rPr>
          <w:rFonts w:ascii="Tinos" w:hAnsi="Tinos" w:eastAsia="Tinos" w:cs="Tinos"/>
          <w:b/>
          <w:color w:val="3d4146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26"/>
          <w:szCs w:val="26"/>
          <w:highlight w:val="none"/>
        </w:rPr>
      </w:r>
      <w:r>
        <w:rPr>
          <w:rFonts w:ascii="Tinos" w:hAnsi="Tinos" w:eastAsia="Tinos" w:cs="Tinos"/>
          <w:b/>
          <w:color w:val="3d4146"/>
          <w:sz w:val="16"/>
          <w:szCs w:val="16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16"/>
          <w:szCs w:val="16"/>
          <w:highlight w:val="none"/>
        </w:rPr>
      </w:r>
      <w:r>
        <w:rPr>
          <w:rFonts w:ascii="Tinos" w:hAnsi="Tinos" w:eastAsia="Tinos" w:cs="Tinos"/>
          <w:b/>
          <w:bCs/>
          <w:color w:val="3d4146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6"/>
          <w:szCs w:val="26"/>
          <w:highlight w:val="none"/>
        </w:rPr>
      </w:r>
      <w:r>
        <w:rPr>
          <w:rFonts w:ascii="Tinos" w:hAnsi="Tinos" w:eastAsia="Tinos" w:cs="Tinos"/>
          <w:color w:val="292c2f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292c2f"/>
          <w:sz w:val="26"/>
          <w:szCs w:val="26"/>
        </w:rPr>
        <w:t xml:space="preserve">Часто собственники земельных участков сталкиваются с ситуацией, когда соседи самовольно переносят забор или строят объекты на границе участка, занимая тем самым часть участка своего соседа.</w:t>
      </w:r>
      <w:r>
        <w:rPr>
          <w:rFonts w:ascii="Tinos" w:hAnsi="Tinos" w:eastAsia="Tinos" w:cs="Tinos"/>
          <w:color w:val="292c2f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b/>
          <w:bCs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6"/>
          <w:szCs w:val="26"/>
        </w:rPr>
      </w: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Первые действия</w:t>
      </w:r>
      <w:r>
        <w:rPr>
          <w:rFonts w:ascii="Tinos" w:hAnsi="Tinos" w:eastAsia="Tinos" w:cs="Tinos"/>
          <w:color w:val="292c2f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Попробуйте обратиться к соседям и постараться достигнуть договоренности о местоположении общей границы земельных участков и о добровольном освобождении самовольно занятого земельного участка без обращения в суд.</w:t>
      </w:r>
      <w:r>
        <w:rPr>
          <w:rFonts w:ascii="Tinos" w:hAnsi="Tinos" w:eastAsia="Tinos" w:cs="Tinos"/>
          <w:color w:val="292c2f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b/>
          <w:bCs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6"/>
          <w:szCs w:val="26"/>
        </w:rPr>
      </w: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Привлечение органов контроля (надзора)</w:t>
      </w:r>
      <w:r>
        <w:rPr>
          <w:rFonts w:ascii="Tinos" w:hAnsi="Tinos" w:eastAsia="Tinos" w:cs="Tinos"/>
          <w:color w:val="292c2f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Если договориться по-хорошему не получается, можно направить обращение в Росреестр Хакасии или орган местного самоуправления с указанием информации о факте занятия земельного участка или его части, которое повлекло нарушение имущественных прав. 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Обратит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ься в Росреестр можно через сайт ведомства, раздел «Обратная связь» или в ходе личного приема, предварительно записавшись по телефону 8(3902)22-10-50. </w:t>
      </w:r>
      <w:r/>
      <w:r>
        <w:rPr>
          <w:rFonts w:ascii="Tinos" w:hAnsi="Tinos" w:eastAsia="Tinos" w:cs="Tinos"/>
          <w:color w:val="292c2f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>
        <w:rPr>
          <w:rFonts w:ascii="Tinos" w:hAnsi="Tinos" w:eastAsia="Tinos" w:cs="Tinos"/>
          <w:color w:val="292c2f"/>
          <w:sz w:val="26"/>
          <w:szCs w:val="26"/>
        </w:rPr>
        <w:t xml:space="preserve">К обращению в электронном виде необходимо приложить данные, подтверждающие занятие земельного участка (фотографии, результаты выполненных кадастровым инженером измерений или иные документы). 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На основании обращения государственные инспекторы по использованию и охране земель проанализируют материалы и проведут контрольные (надзорные) мероприятия. В случае выявления нарушения они выдадут предписание о его устранении. </w:t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Предписание выдается на 6 месяцев. После истечения этого срока инспекторы проверяют, устранено самовольное занятие земельного участка или нет. Если нарушитель не принимает никаких мер, будет выдано еще одно предписание и составлен протокол об административ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ном правонарушении.</w:t>
      </w:r>
      <w:r>
        <w:rPr>
          <w:rFonts w:ascii="Tinos" w:hAnsi="Tinos" w:eastAsia="Tinos" w:cs="Tinos"/>
          <w:color w:val="292c2f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bCs/>
          <w:i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6"/>
          <w:szCs w:val="26"/>
        </w:rPr>
      </w: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Важно!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 </w:t>
      </w:r>
      <w:r>
        <w:rPr>
          <w:rFonts w:ascii="Tinos" w:hAnsi="Tinos" w:eastAsia="Tinos" w:cs="Tinos"/>
          <w:i/>
          <w:color w:val="292c2f"/>
          <w:sz w:val="26"/>
          <w:szCs w:val="26"/>
        </w:rPr>
        <w:t xml:space="preserve">За самовольное занятие земельного участка предусмотрена административная ответственность в виде штрафа. Для граждан он начисляется в размере от 1 до 1,5% кадастровой стоимости занятой части земельного участка, но не менее 5 тыс. рублей. В случае, если када</w:t>
      </w:r>
      <w:r>
        <w:rPr>
          <w:rFonts w:ascii="Tinos" w:hAnsi="Tinos" w:eastAsia="Tinos" w:cs="Tinos"/>
          <w:i/>
          <w:color w:val="292c2f"/>
          <w:sz w:val="26"/>
          <w:szCs w:val="26"/>
        </w:rPr>
        <w:t xml:space="preserve">стровая стоимость участка не определена, размер штрафа составит от 5 до 10 тыс. рублей.</w:t>
      </w:r>
      <w:r>
        <w:rPr>
          <w:rFonts w:ascii="Tinos" w:hAnsi="Tinos" w:eastAsia="Tinos" w:cs="Tinos"/>
          <w:color w:val="292c2f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b/>
          <w:bCs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color w:val="292c2f"/>
          <w:sz w:val="26"/>
          <w:szCs w:val="26"/>
        </w:rPr>
      </w: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Если сосед против </w:t>
      </w:r>
      <w:r>
        <w:rPr>
          <w:rFonts w:ascii="Tinos" w:hAnsi="Tinos" w:eastAsia="Tinos" w:cs="Tinos"/>
          <w:color w:val="292c2f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6"/>
          <w:szCs w:val="26"/>
        </w:rPr>
        <w:t xml:space="preserve">Государственные инспекторы по использованию и охране земель не имеют полномочий по обращению в суд с исковыми заявлениями о принудительном освобождении самовольно занятых земельных участков. </w:t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Поэтому правообладатель вправе самостоятельно обратиться в суд для защиты своих прав и возврата незаконно занятого участка.</w:t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cs="Tinos"/>
          <w:sz w:val="26"/>
          <w:szCs w:val="26"/>
        </w:rPr>
      </w:r>
    </w:p>
    <w:p>
      <w:pPr>
        <w:ind w:left="120" w:right="120" w:firstLine="0"/>
        <w:jc w:val="both"/>
        <w:rPr>
          <w:rFonts w:ascii="Tinos" w:hAnsi="Tinos" w:cs="Tinos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6"/>
          <w:szCs w:val="26"/>
        </w:rPr>
        <w:br/>
      </w:r>
      <w:r>
        <w:rPr>
          <w:rFonts w:ascii="Tinos" w:hAnsi="Tinos" w:eastAsia="Tinos" w:cs="Tinos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b/>
          <w:bCs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Прежде чем отправить жалобу в суд</w:t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92c2f"/>
          <w:sz w:val="26"/>
          <w:szCs w:val="26"/>
        </w:rPr>
        <w:t xml:space="preserve">Прежде чем направить жалобу на соседа в суд,</w:t>
      </w: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 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выясните, установлены ли границы вашего и соседского земельных участков: определены ли координаты характерных точек их границ. </w:t>
      </w:r>
      <w:r>
        <w:rPr>
          <w:rFonts w:ascii="Tinos" w:hAnsi="Tinos" w:cs="Tinos"/>
          <w:sz w:val="26"/>
          <w:szCs w:val="26"/>
        </w:rPr>
      </w:r>
      <w:r/>
      <w:r>
        <w:rPr>
          <w:rFonts w:ascii="Tinos" w:hAnsi="Tinos" w:eastAsia="Tinos" w:cs="Tinos"/>
          <w:color w:val="292c2f"/>
          <w:sz w:val="26"/>
          <w:szCs w:val="26"/>
        </w:rPr>
        <w:t xml:space="preserve">Для этого зайдите на Публичную кадастровую карту Росреестра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, которая размещена на платформе «Национальная система пространственных данных» (НСПД). Найдите свой и соседский участки по адресу или кадастровому номеру. Если рядом с участком будет надпись «Без координат границ», значит, кадастровые работы по нему 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не проводились, и его границы не учтены. 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Получить информацию по границам участка можно, в том числе, заказав выписку из ЕГРН об объекте недвижимости на сайте Росреестра, Роскадастра, Госуслугах или в МФЦ.</w:t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Кроме того, чтобы защитить себя от противоправных действий соседа, вы должны быть правообладателем земельного участка, границы которого он нарушил. Ваше право собственности на землю должно быть зарегистрировано в ЕГРН.</w:t>
      </w:r>
      <w:r>
        <w:rPr>
          <w:rFonts w:ascii="Tinos" w:hAnsi="Tinos" w:cs="Tinos"/>
          <w:sz w:val="26"/>
          <w:szCs w:val="26"/>
        </w:rPr>
      </w:r>
      <w:r/>
    </w:p>
    <w:p>
      <w:pPr>
        <w:ind w:left="0" w:right="0" w:firstLine="708"/>
        <w:jc w:val="both"/>
        <w:spacing w:before="0" w:after="0"/>
        <w:rPr>
          <w:rFonts w:ascii="Tinos" w:hAnsi="Tinos" w:eastAsia="Tinos" w:cs="Tinos"/>
          <w:b/>
          <w:bCs/>
          <w:color w:val="292c2f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Если границы участка не установлены</w:t>
      </w:r>
      <w:r>
        <w:rPr>
          <w:rFonts w:ascii="Tinos" w:hAnsi="Tinos" w:cs="Tinos"/>
          <w:sz w:val="26"/>
          <w:szCs w:val="26"/>
        </w:rPr>
      </w:r>
    </w:p>
    <w:p>
      <w:pPr>
        <w:ind w:left="0" w:right="0" w:firstLine="708"/>
        <w:jc w:val="both"/>
        <w:spacing w:before="0" w:after="0"/>
        <w:rPr>
          <w:rFonts w:ascii="Tinos" w:hAnsi="Tinos" w:cs="Tinos"/>
          <w:b w:val="0"/>
          <w:bCs w:val="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92c2f"/>
          <w:sz w:val="26"/>
          <w:szCs w:val="26"/>
        </w:rPr>
        <w:t xml:space="preserve">Если границы вашего участка не установлены, проведите кадастровые работы. 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Для этого нужно обратиться к кадастровому инженеру. Это можно сделать на сайте Роскадастра Хакасии. </w:t>
      </w:r>
      <w:r>
        <w:rPr>
          <w:rFonts w:ascii="Tinos" w:hAnsi="Tinos" w:eastAsia="Tinos" w:cs="Tinos"/>
          <w:color w:val="292c2f"/>
          <w:sz w:val="26"/>
          <w:szCs w:val="26"/>
        </w:rPr>
        <w:t xml:space="preserve">Кадастровый инженер проведёт замеры на местности, определит координаты поворотных точек границ вашего участка и составит межевой план. После этого границы согласовываются с правообладателями соседних участков. </w:t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Акт согласования границ подписывается (при необходимости) всеми правообладателями соседних земельных участков. </w:t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eastAsia="Tinos" w:cs="Tinos"/>
          <w:color w:val="292c2f"/>
          <w:sz w:val="26"/>
          <w:szCs w:val="26"/>
        </w:rPr>
        <w:t xml:space="preserve">После завершения кадастровых работ подайте заявление в Росреестр хакасии для внесения изменений в сведения ЕГРН.</w:t>
      </w: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</w:p>
    <w:p>
      <w:pPr>
        <w:ind w:left="120" w:right="120" w:firstLine="0"/>
        <w:jc w:val="both"/>
        <w:rPr>
          <w:rFonts w:ascii="Tinos" w:hAnsi="Tinos" w:cs="Tinos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i/>
          <w:color w:val="292c2f"/>
          <w:sz w:val="26"/>
          <w:szCs w:val="26"/>
          <w:highlight w:val="none"/>
        </w:rPr>
      </w:r>
      <w:r>
        <w:rPr>
          <w:rFonts w:ascii="Tinos" w:hAnsi="Tinos" w:eastAsia="Tinos" w:cs="Tinos"/>
          <w:b/>
          <w:i/>
          <w:color w:val="292c2f"/>
          <w:sz w:val="26"/>
          <w:szCs w:val="26"/>
          <w:highlight w:val="none"/>
        </w:rPr>
      </w:r>
    </w:p>
    <w:p>
      <w:pPr>
        <w:ind w:left="120" w:right="120" w:firstLine="0"/>
        <w:jc w:val="both"/>
        <w:rPr>
          <w:rFonts w:ascii="Tinos" w:hAnsi="Tinos" w:eastAsia="Tinos" w:cs="Tinos"/>
          <w:b w:val="0"/>
          <w:bCs/>
          <w:i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6"/>
          <w:szCs w:val="26"/>
        </w:rPr>
      </w:r>
      <w:r>
        <w:rPr>
          <w:rFonts w:ascii="Tinos" w:hAnsi="Tinos" w:eastAsia="Tinos" w:cs="Tinos"/>
          <w:b/>
          <w:color w:val="292c2f"/>
          <w:sz w:val="26"/>
          <w:szCs w:val="26"/>
        </w:rPr>
        <w:t xml:space="preserve">Важно! </w:t>
      </w:r>
      <w:r>
        <w:rPr>
          <w:rFonts w:ascii="Tinos" w:hAnsi="Tinos" w:eastAsia="Tinos" w:cs="Tinos"/>
          <w:b w:val="0"/>
          <w:bCs w:val="0"/>
          <w:i/>
          <w:iCs/>
          <w:color w:val="292c2f"/>
          <w:sz w:val="26"/>
          <w:szCs w:val="26"/>
        </w:rPr>
        <w:t xml:space="preserve">С 1 марта 2025 наличие в ЕГРН сведений о границах земельных участков стало обязательным для большинства сделок с ними.</w:t>
      </w:r>
      <w:r>
        <w:rPr>
          <w:rFonts w:ascii="Tinos" w:hAnsi="Tinos" w:eastAsia="Tinos" w:cs="Tinos"/>
          <w:b w:val="0"/>
          <w:bCs w:val="0"/>
          <w:i/>
          <w:iCs/>
          <w:sz w:val="26"/>
          <w:szCs w:val="26"/>
        </w:rPr>
      </w:r>
      <w:r>
        <w:rPr>
          <w:rFonts w:ascii="Tinos" w:hAnsi="Tinos" w:cs="Tinos"/>
          <w:b w:val="0"/>
          <w:bCs w:val="0"/>
          <w:i/>
          <w:iCs/>
          <w:sz w:val="26"/>
          <w:szCs w:val="26"/>
        </w:rPr>
      </w:r>
    </w:p>
    <w:p>
      <w:pPr>
        <w:ind w:left="120" w:right="120" w:firstLine="0"/>
        <w:jc w:val="both"/>
        <w:rPr>
          <w:rFonts w:ascii="Tinos" w:hAnsi="Tinos" w:eastAsia="Tinos" w:cs="Tinos"/>
          <w:b w:val="0"/>
          <w:bCs/>
          <w:i/>
          <w:color w:val="292c2f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/>
          <w:i/>
          <w:color w:val="292c2f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/>
          <w:i/>
          <w:color w:val="292c2f"/>
          <w:sz w:val="26"/>
          <w:szCs w:val="26"/>
          <w:highlight w:val="none"/>
        </w:rPr>
      </w:r>
    </w:p>
    <w:p>
      <w:pPr>
        <w:ind w:left="120" w:right="120" w:firstLine="0"/>
        <w:jc w:val="right"/>
        <w:rPr>
          <w:rFonts w:ascii="Tinos" w:hAnsi="Tinos" w:eastAsia="Tinos" w:cs="Tinos"/>
          <w:b w:val="0"/>
          <w:bCs/>
          <w:i/>
          <w:color w:val="292c2f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sz w:val="26"/>
          <w:szCs w:val="26"/>
          <w:highlight w:val="none"/>
        </w:rPr>
        <w:t xml:space="preserve">Пресс-служба Росреестра Хакасии</w:t>
      </w:r>
      <w:r>
        <w:rPr>
          <w:rFonts w:ascii="Tinos" w:hAnsi="Tinos" w:eastAsia="Tinos" w:cs="Tinos"/>
          <w:b w:val="0"/>
          <w:bCs w:val="0"/>
          <w:i/>
          <w:iCs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i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i/>
          <w:i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i/>
          <w:iCs/>
          <w:sz w:val="26"/>
          <w:szCs w:val="26"/>
        </w:rPr>
      </w:r>
    </w:p>
    <w:p>
      <w:pPr>
        <w:contextualSpacing w:val="0"/>
        <w:ind w:left="0" w:right="0" w:firstLine="0"/>
        <w:jc w:val="both"/>
        <w:keepNext/>
        <w:spacing w:before="0" w:after="0" w:line="283" w:lineRule="atLeast"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keepNext/>
        <w:spacing w:before="0" w:line="283" w:lineRule="atLeast"/>
        <w:shd w:val="clear" w:color="ffffff" w:fill="ffffff"/>
        <w:widowControl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pStyle w:val="874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2 Char"/>
    <w:basedOn w:val="696"/>
    <w:link w:val="688"/>
    <w:uiPriority w:val="9"/>
    <w:rPr>
      <w:rFonts w:ascii="Arial" w:hAnsi="Arial" w:eastAsia="Arial" w:cs="Arial"/>
      <w:sz w:val="34"/>
    </w:rPr>
  </w:style>
  <w:style w:type="character" w:styleId="671">
    <w:name w:val="Heading 3 Char"/>
    <w:basedOn w:val="696"/>
    <w:link w:val="689"/>
    <w:uiPriority w:val="9"/>
    <w:rPr>
      <w:rFonts w:ascii="Arial" w:hAnsi="Arial" w:eastAsia="Arial" w:cs="Arial"/>
      <w:sz w:val="30"/>
      <w:szCs w:val="30"/>
    </w:rPr>
  </w:style>
  <w:style w:type="character" w:styleId="672">
    <w:name w:val="Heading 4 Char"/>
    <w:basedOn w:val="696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673">
    <w:name w:val="Heading 5 Char"/>
    <w:basedOn w:val="696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674">
    <w:name w:val="Heading 6 Char"/>
    <w:basedOn w:val="69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675">
    <w:name w:val="Heading 7 Char"/>
    <w:basedOn w:val="696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8 Char"/>
    <w:basedOn w:val="696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677">
    <w:name w:val="Heading 9 Char"/>
    <w:basedOn w:val="696"/>
    <w:link w:val="695"/>
    <w:uiPriority w:val="9"/>
    <w:rPr>
      <w:rFonts w:ascii="Arial" w:hAnsi="Arial" w:eastAsia="Arial" w:cs="Arial"/>
      <w:i/>
      <w:iCs/>
      <w:sz w:val="21"/>
      <w:szCs w:val="21"/>
    </w:rPr>
  </w:style>
  <w:style w:type="character" w:styleId="678">
    <w:name w:val="Title Char"/>
    <w:basedOn w:val="696"/>
    <w:link w:val="710"/>
    <w:uiPriority w:val="10"/>
    <w:rPr>
      <w:sz w:val="48"/>
      <w:szCs w:val="48"/>
    </w:rPr>
  </w:style>
  <w:style w:type="character" w:styleId="679">
    <w:name w:val="Subtitle Char"/>
    <w:basedOn w:val="696"/>
    <w:link w:val="712"/>
    <w:uiPriority w:val="11"/>
    <w:rPr>
      <w:sz w:val="24"/>
      <w:szCs w:val="24"/>
    </w:rPr>
  </w:style>
  <w:style w:type="character" w:styleId="680">
    <w:name w:val="Quote Char"/>
    <w:link w:val="714"/>
    <w:uiPriority w:val="29"/>
    <w:rPr>
      <w:i/>
    </w:rPr>
  </w:style>
  <w:style w:type="character" w:styleId="681">
    <w:name w:val="Intense Quote Char"/>
    <w:link w:val="716"/>
    <w:uiPriority w:val="30"/>
    <w:rPr>
      <w:i/>
    </w:rPr>
  </w:style>
  <w:style w:type="character" w:styleId="682">
    <w:name w:val="Header Char"/>
    <w:basedOn w:val="696"/>
    <w:link w:val="718"/>
    <w:uiPriority w:val="99"/>
  </w:style>
  <w:style w:type="character" w:styleId="683">
    <w:name w:val="Caption Char"/>
    <w:basedOn w:val="722"/>
    <w:link w:val="720"/>
    <w:uiPriority w:val="99"/>
  </w:style>
  <w:style w:type="character" w:styleId="684">
    <w:name w:val="Footnote Text Char"/>
    <w:link w:val="851"/>
    <w:uiPriority w:val="99"/>
    <w:rPr>
      <w:sz w:val="18"/>
    </w:rPr>
  </w:style>
  <w:style w:type="character" w:styleId="685">
    <w:name w:val="Endnote Text Char"/>
    <w:link w:val="854"/>
    <w:uiPriority w:val="99"/>
    <w:rPr>
      <w:sz w:val="20"/>
    </w:rPr>
  </w:style>
  <w:style w:type="paragraph" w:styleId="686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87">
    <w:name w:val="Heading 1"/>
    <w:basedOn w:val="686"/>
    <w:next w:val="686"/>
    <w:link w:val="87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688">
    <w:name w:val="Heading 2"/>
    <w:basedOn w:val="686"/>
    <w:next w:val="686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9">
    <w:name w:val="Heading 3"/>
    <w:basedOn w:val="686"/>
    <w:next w:val="686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0">
    <w:name w:val="Heading 4"/>
    <w:basedOn w:val="686"/>
    <w:next w:val="686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686"/>
    <w:next w:val="686"/>
    <w:link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686"/>
    <w:next w:val="686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3">
    <w:name w:val="Heading 7"/>
    <w:basedOn w:val="686"/>
    <w:next w:val="686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4">
    <w:name w:val="Heading 8"/>
    <w:basedOn w:val="686"/>
    <w:next w:val="686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5">
    <w:name w:val="Heading 9"/>
    <w:basedOn w:val="686"/>
    <w:next w:val="686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 w:default="1">
    <w:name w:val="Default Paragraph Font"/>
    <w:uiPriority w:val="1"/>
    <w:semiHidden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0" w:customStyle="1">
    <w:name w:val="Заголовок 2 Знак"/>
    <w:link w:val="688"/>
    <w:uiPriority w:val="9"/>
    <w:rPr>
      <w:rFonts w:ascii="Arial" w:hAnsi="Arial" w:eastAsia="Arial" w:cs="Arial"/>
      <w:sz w:val="34"/>
    </w:rPr>
  </w:style>
  <w:style w:type="character" w:styleId="701" w:customStyle="1">
    <w:name w:val="Заголовок 3 Знак"/>
    <w:link w:val="689"/>
    <w:uiPriority w:val="9"/>
    <w:rPr>
      <w:rFonts w:ascii="Arial" w:hAnsi="Arial" w:eastAsia="Arial" w:cs="Arial"/>
      <w:sz w:val="30"/>
      <w:szCs w:val="30"/>
    </w:rPr>
  </w:style>
  <w:style w:type="character" w:styleId="702" w:customStyle="1">
    <w:name w:val="Заголовок 4 Знак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Заголовок 5 Знак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Заголовок 6 Знак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Заголовок 7 Знак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Заголовок 8 Знак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Заголовок 9 Знак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686"/>
    <w:uiPriority w:val="34"/>
    <w:qFormat/>
    <w:pPr>
      <w:contextualSpacing/>
      <w:ind w:left="720"/>
      <w:spacing w:after="200" w:line="276" w:lineRule="auto"/>
    </w:pPr>
  </w:style>
  <w:style w:type="paragraph" w:styleId="709">
    <w:name w:val="No Spacing"/>
    <w:link w:val="871"/>
    <w:uiPriority w:val="1"/>
    <w:qFormat/>
    <w:rPr>
      <w:rFonts w:eastAsia="Times New Roman"/>
      <w:sz w:val="22"/>
      <w:szCs w:val="22"/>
    </w:rPr>
  </w:style>
  <w:style w:type="paragraph" w:styleId="710">
    <w:name w:val="Title"/>
    <w:basedOn w:val="686"/>
    <w:next w:val="686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 w:customStyle="1">
    <w:name w:val="Заголовок Знак"/>
    <w:link w:val="710"/>
    <w:uiPriority w:val="10"/>
    <w:rPr>
      <w:sz w:val="48"/>
      <w:szCs w:val="48"/>
    </w:rPr>
  </w:style>
  <w:style w:type="paragraph" w:styleId="712">
    <w:name w:val="Subtitle"/>
    <w:basedOn w:val="686"/>
    <w:next w:val="686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 w:customStyle="1">
    <w:name w:val="Подзаголовок Знак"/>
    <w:link w:val="712"/>
    <w:uiPriority w:val="11"/>
    <w:rPr>
      <w:sz w:val="24"/>
      <w:szCs w:val="24"/>
    </w:rPr>
  </w:style>
  <w:style w:type="paragraph" w:styleId="714">
    <w:name w:val="Quote"/>
    <w:basedOn w:val="686"/>
    <w:next w:val="686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86"/>
    <w:next w:val="686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>
    <w:name w:val="Header"/>
    <w:basedOn w:val="686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Верхний колонтитул Знак"/>
    <w:link w:val="718"/>
    <w:uiPriority w:val="99"/>
  </w:style>
  <w:style w:type="paragraph" w:styleId="720">
    <w:name w:val="Footer"/>
    <w:basedOn w:val="686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 w:customStyle="1">
    <w:name w:val="Footer Char"/>
    <w:uiPriority w:val="99"/>
  </w:style>
  <w:style w:type="paragraph" w:styleId="722">
    <w:name w:val="Caption"/>
    <w:basedOn w:val="686"/>
    <w:next w:val="68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3" w:customStyle="1">
    <w:name w:val="Нижний колонтитул Знак"/>
    <w:link w:val="720"/>
    <w:uiPriority w:val="99"/>
  </w:style>
  <w:style w:type="table" w:styleId="724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9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0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7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0">
    <w:name w:val="Hyperlink"/>
    <w:uiPriority w:val="99"/>
    <w:unhideWhenUsed/>
    <w:rPr>
      <w:color w:val="0000ff"/>
      <w:u w:val="single"/>
    </w:rPr>
  </w:style>
  <w:style w:type="paragraph" w:styleId="851">
    <w:name w:val="footnote text"/>
    <w:basedOn w:val="686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uiPriority w:val="99"/>
    <w:unhideWhenUsed/>
    <w:rPr>
      <w:vertAlign w:val="superscript"/>
    </w:rPr>
  </w:style>
  <w:style w:type="paragraph" w:styleId="854">
    <w:name w:val="endnote text"/>
    <w:basedOn w:val="686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uiPriority w:val="99"/>
    <w:semiHidden/>
    <w:unhideWhenUsed/>
    <w:rPr>
      <w:vertAlign w:val="superscript"/>
    </w:rPr>
  </w:style>
  <w:style w:type="paragraph" w:styleId="857">
    <w:name w:val="toc 1"/>
    <w:basedOn w:val="686"/>
    <w:next w:val="686"/>
    <w:uiPriority w:val="39"/>
    <w:unhideWhenUsed/>
    <w:pPr>
      <w:spacing w:after="57"/>
    </w:pPr>
  </w:style>
  <w:style w:type="paragraph" w:styleId="858">
    <w:name w:val="toc 2"/>
    <w:basedOn w:val="686"/>
    <w:next w:val="686"/>
    <w:uiPriority w:val="39"/>
    <w:unhideWhenUsed/>
    <w:pPr>
      <w:ind w:left="283"/>
      <w:spacing w:after="57"/>
    </w:pPr>
  </w:style>
  <w:style w:type="paragraph" w:styleId="859">
    <w:name w:val="toc 3"/>
    <w:basedOn w:val="686"/>
    <w:next w:val="686"/>
    <w:uiPriority w:val="39"/>
    <w:unhideWhenUsed/>
    <w:pPr>
      <w:ind w:left="567"/>
      <w:spacing w:after="57"/>
    </w:pPr>
  </w:style>
  <w:style w:type="paragraph" w:styleId="860">
    <w:name w:val="toc 4"/>
    <w:basedOn w:val="686"/>
    <w:next w:val="686"/>
    <w:uiPriority w:val="39"/>
    <w:unhideWhenUsed/>
    <w:pPr>
      <w:ind w:left="850"/>
      <w:spacing w:after="57"/>
    </w:pPr>
  </w:style>
  <w:style w:type="paragraph" w:styleId="861">
    <w:name w:val="toc 5"/>
    <w:basedOn w:val="686"/>
    <w:next w:val="686"/>
    <w:uiPriority w:val="39"/>
    <w:unhideWhenUsed/>
    <w:pPr>
      <w:ind w:left="1134"/>
      <w:spacing w:after="57"/>
    </w:pPr>
  </w:style>
  <w:style w:type="paragraph" w:styleId="862">
    <w:name w:val="toc 6"/>
    <w:basedOn w:val="686"/>
    <w:next w:val="686"/>
    <w:uiPriority w:val="39"/>
    <w:unhideWhenUsed/>
    <w:pPr>
      <w:ind w:left="1417"/>
      <w:spacing w:after="57"/>
    </w:pPr>
  </w:style>
  <w:style w:type="paragraph" w:styleId="863">
    <w:name w:val="toc 7"/>
    <w:basedOn w:val="686"/>
    <w:next w:val="686"/>
    <w:uiPriority w:val="39"/>
    <w:unhideWhenUsed/>
    <w:pPr>
      <w:ind w:left="1701"/>
      <w:spacing w:after="57"/>
    </w:pPr>
  </w:style>
  <w:style w:type="paragraph" w:styleId="864">
    <w:name w:val="toc 8"/>
    <w:basedOn w:val="686"/>
    <w:next w:val="686"/>
    <w:uiPriority w:val="39"/>
    <w:unhideWhenUsed/>
    <w:pPr>
      <w:ind w:left="1984"/>
      <w:spacing w:after="57"/>
    </w:pPr>
  </w:style>
  <w:style w:type="paragraph" w:styleId="865">
    <w:name w:val="toc 9"/>
    <w:basedOn w:val="686"/>
    <w:next w:val="686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  <w:rPr>
      <w:lang w:eastAsia="zh-CN"/>
    </w:rPr>
  </w:style>
  <w:style w:type="paragraph" w:styleId="867">
    <w:name w:val="table of figures"/>
    <w:basedOn w:val="686"/>
    <w:next w:val="686"/>
    <w:uiPriority w:val="99"/>
    <w:unhideWhenUsed/>
    <w:pPr>
      <w:spacing w:after="0"/>
    </w:pPr>
  </w:style>
  <w:style w:type="paragraph" w:styleId="868">
    <w:name w:val="Normal (Web)"/>
    <w:basedOn w:val="68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69">
    <w:name w:val="Balloon Text"/>
    <w:basedOn w:val="686"/>
    <w:link w:val="870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styleId="870" w:customStyle="1">
    <w:name w:val="Текст выноски Знак"/>
    <w:link w:val="869"/>
    <w:uiPriority w:val="99"/>
    <w:semiHidden/>
    <w:rPr>
      <w:rFonts w:ascii="Segoe UI" w:hAnsi="Segoe UI" w:cs="Segoe UI"/>
      <w:sz w:val="18"/>
      <w:szCs w:val="18"/>
    </w:rPr>
  </w:style>
  <w:style w:type="character" w:styleId="871" w:customStyle="1">
    <w:name w:val="Без интервала Знак"/>
    <w:link w:val="709"/>
    <w:uiPriority w:val="1"/>
    <w:rPr>
      <w:rFonts w:eastAsia="Times New Roman"/>
      <w:sz w:val="22"/>
      <w:szCs w:val="22"/>
      <w:lang w:eastAsia="ru-RU" w:bidi="ar-SA"/>
    </w:rPr>
  </w:style>
  <w:style w:type="character" w:styleId="872">
    <w:name w:val="Strong"/>
    <w:uiPriority w:val="22"/>
    <w:qFormat/>
    <w:rPr>
      <w:b/>
      <w:bCs/>
    </w:rPr>
  </w:style>
  <w:style w:type="character" w:styleId="873">
    <w:name w:val="Emphasis"/>
    <w:uiPriority w:val="20"/>
    <w:qFormat/>
    <w:rPr>
      <w:i/>
      <w:iCs/>
    </w:rPr>
  </w:style>
  <w:style w:type="paragraph" w:styleId="874">
    <w:name w:val="List Bullet"/>
    <w:basedOn w:val="686"/>
    <w:uiPriority w:val="99"/>
    <w:unhideWhenUsed/>
    <w:pPr>
      <w:numPr>
        <w:ilvl w:val="0"/>
        <w:numId w:val="4"/>
      </w:numPr>
      <w:contextualSpacing/>
    </w:pPr>
  </w:style>
  <w:style w:type="character" w:styleId="875" w:customStyle="1">
    <w:name w:val="fontstyle01"/>
    <w:rPr>
      <w:rFonts w:ascii="Times New Roman" w:hAnsi="Times New Roman" w:cs="Times New Roman"/>
      <w:color w:val="000000"/>
      <w:sz w:val="28"/>
      <w:szCs w:val="28"/>
    </w:rPr>
  </w:style>
  <w:style w:type="character" w:styleId="876" w:customStyle="1">
    <w:name w:val="Заголовок 1 Знак"/>
    <w:link w:val="687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77" w:customStyle="1">
    <w:name w:val="Основной текст_"/>
    <w:link w:val="878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78" w:customStyle="1">
    <w:name w:val="Основной текст2"/>
    <w:basedOn w:val="686"/>
    <w:link w:val="877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79" w:customStyle="1">
    <w:name w:val="Основной текст (2)_"/>
    <w:link w:val="882"/>
    <w:rPr>
      <w:sz w:val="19"/>
      <w:szCs w:val="19"/>
      <w:shd w:val="clear" w:color="auto" w:fill="ffffff"/>
    </w:rPr>
  </w:style>
  <w:style w:type="character" w:styleId="880" w:customStyle="1">
    <w:name w:val="Основной текст (3)_"/>
    <w:link w:val="883"/>
    <w:rPr>
      <w:sz w:val="22"/>
      <w:szCs w:val="22"/>
      <w:shd w:val="clear" w:color="auto" w:fill="ffffff"/>
    </w:rPr>
  </w:style>
  <w:style w:type="character" w:styleId="881" w:customStyle="1">
    <w:name w:val="Основной текст (4)_"/>
    <w:link w:val="884"/>
    <w:rPr>
      <w:shd w:val="clear" w:color="auto" w:fill="ffffff"/>
    </w:rPr>
  </w:style>
  <w:style w:type="paragraph" w:styleId="882" w:customStyle="1">
    <w:name w:val="Основной текст (2)"/>
    <w:basedOn w:val="686"/>
    <w:link w:val="879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83" w:customStyle="1">
    <w:name w:val="Основной текст (3)"/>
    <w:basedOn w:val="686"/>
    <w:link w:val="880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84" w:customStyle="1">
    <w:name w:val="Основной текст (4)"/>
    <w:basedOn w:val="686"/>
    <w:link w:val="881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85" w:customStyle="1">
    <w:name w:val="block__block-3c"/>
    <w:basedOn w:val="686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276</cp:revision>
  <dcterms:created xsi:type="dcterms:W3CDTF">2023-01-18T04:28:00Z</dcterms:created>
  <dcterms:modified xsi:type="dcterms:W3CDTF">2025-09-15T03:04:25Z</dcterms:modified>
  <cp:version>1048576</cp:version>
</cp:coreProperties>
</file>